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f9dddd290d845152a85228a462e93f06c8e11a0"/>
      <w:r>
        <w:t xml:space="preserve">Beyond the Storm Track: A Social Vulnerability Framework for Coastal and Water Hazard Risk</w:t>
      </w:r>
      <w:bookmarkEnd w:id="20"/>
    </w:p>
    <w:p>
      <w:pPr>
        <w:pStyle w:val="Heading3"/>
      </w:pPr>
      <w:bookmarkStart w:id="21" w:name="X497374b41e9a1c23a86d699651175c5f66bafef"/>
      <w:r>
        <w:t xml:space="preserve">Why the best physical models still fail communities — and what to do about it</w:t>
      </w:r>
      <w:bookmarkEnd w:id="21"/>
    </w:p>
    <w:p>
      <w:r>
        <w:pict>
          <v:rect style="width:0;height:1.5pt" o:hralign="center" o:hrstd="t" o:hr="t"/>
        </w:pict>
      </w:r>
    </w:p>
    <w:p>
      <w:pPr>
        <w:pStyle w:val="Heading2"/>
      </w:pPr>
      <w:bookmarkStart w:id="22" w:name="the-problem-this-framework-solves"/>
      <w:r>
        <w:t xml:space="preserve">The Problem This Framework Solves</w:t>
      </w:r>
      <w:bookmarkEnd w:id="22"/>
    </w:p>
    <w:p>
      <w:pPr>
        <w:pStyle w:val="FirstParagraph"/>
      </w:pPr>
      <w:r>
        <w:t xml:space="preserve">When Hurricane Maria made landfall in Puerto Rico in September 2017, meteorological models performed reasonably well. Track forecasts, rainfall projections, and wind speed estimates were broadly accurate. Emergency managers and planners had the physical science.</w:t>
      </w:r>
    </w:p>
    <w:p>
      <w:pPr>
        <w:pStyle w:val="BodyText"/>
      </w:pPr>
      <w:r>
        <w:t xml:space="preserve">What the models missed was everything that happened next.</w:t>
      </w:r>
    </w:p>
    <w:p>
      <w:pPr>
        <w:pStyle w:val="BodyText"/>
      </w:pPr>
      <w:r>
        <w:t xml:space="preserve">Interior mountain municipios like Utuado and Ciales — far from the storm track’s most intense winds, flagged as moderate-risk on physical hazard maps — lost power for 295 and 321 days, respectively. Communities in low-lying coastal zones like Loíza faced compound flooding and 215-day power outages while carrying some of the island’s highest poverty, disability, and housing precarity rates. The island of Vieques, technically reachable only by ferry, took 314 days to restore. In each case, the post-event outcome bore almost no relationship to what physical models had predicted.</w:t>
      </w:r>
    </w:p>
    <w:p>
      <w:pPr>
        <w:pStyle w:val="BodyText"/>
      </w:pPr>
      <w:r>
        <w:t xml:space="preserve">This is not an anomaly. It is a pattern. And it is a solvable one.</w:t>
      </w:r>
    </w:p>
    <w:p>
      <w:pPr>
        <w:pStyle w:val="BodyText"/>
      </w:pPr>
      <w:r>
        <w:t xml:space="preserve">The Social Vulnerability Index (SVI) framework documented here is designed to close the gap between what physical hazard models predict and what actually happens to communities — before the event, during the response, and throughout recovery. It is not a replacement for physical science. It is the missing half of the equation.</w:t>
      </w:r>
    </w:p>
    <w:p>
      <w:r>
        <w:pict>
          <v:rect style="width:0;height:1.5pt" o:hralign="center" o:hrstd="t" o:hr="t"/>
        </w:pict>
      </w:r>
    </w:p>
    <w:p>
      <w:pPr>
        <w:pStyle w:val="Heading2"/>
      </w:pPr>
      <w:bookmarkStart w:id="23" w:name="X04379edd48d5a17e82dc8fc703a1d95b787f58c"/>
      <w:r>
        <w:t xml:space="preserve">What Social Vulnerability Actually Measures</w:t>
      </w:r>
      <w:bookmarkEnd w:id="23"/>
    </w:p>
    <w:p>
      <w:pPr>
        <w:pStyle w:val="FirstParagraph"/>
      </w:pPr>
      <w:r>
        <w:t xml:space="preserve">“</w:t>
      </w:r>
      <w:r>
        <w:t xml:space="preserve">Vulnerability</w:t>
      </w:r>
      <w:r>
        <w:t xml:space="preserve">”</w:t>
      </w:r>
      <w:r>
        <w:t xml:space="preserve"> </w:t>
      </w:r>
      <w:r>
        <w:t xml:space="preserve">is often used loosely to mean physical exposure. This framework uses a more precise definition drawn from the academic literature and field research:</w:t>
      </w:r>
    </w:p>
    <w:p>
      <w:pPr>
        <w:pStyle w:val="BodyText"/>
      </w:pPr>
      <w:r>
        <w:rPr>
          <w:b/>
        </w:rPr>
        <w:t xml:space="preserve">Vulnerability = Exposure × Sensitivity × Adaptive Capacity</w:t>
      </w:r>
    </w:p>
    <w:p>
      <w:pPr>
        <w:numPr>
          <w:ilvl w:val="0"/>
          <w:numId w:val="1001"/>
        </w:numPr>
        <w:pStyle w:val="Compact"/>
      </w:pPr>
      <w:r>
        <w:rPr>
          <w:b/>
        </w:rPr>
        <w:t xml:space="preserve">Exposure</w:t>
      </w:r>
      <w:r>
        <w:t xml:space="preserve">: Will the hazard reach this community at all?</w:t>
      </w:r>
    </w:p>
    <w:p>
      <w:pPr>
        <w:numPr>
          <w:ilvl w:val="0"/>
          <w:numId w:val="1001"/>
        </w:numPr>
        <w:pStyle w:val="Compact"/>
      </w:pPr>
      <w:r>
        <w:rPr>
          <w:b/>
        </w:rPr>
        <w:t xml:space="preserve">Sensitivity</w:t>
      </w:r>
      <w:r>
        <w:t xml:space="preserve">: How much damage can this community absorb when it does?</w:t>
      </w:r>
    </w:p>
    <w:p>
      <w:pPr>
        <w:numPr>
          <w:ilvl w:val="0"/>
          <w:numId w:val="1001"/>
        </w:numPr>
        <w:pStyle w:val="Compact"/>
      </w:pPr>
      <w:r>
        <w:rPr>
          <w:b/>
        </w:rPr>
        <w:t xml:space="preserve">Adaptive Capacity</w:t>
      </w:r>
      <w:r>
        <w:t xml:space="preserve">: How quickly and fully can this community recover?</w:t>
      </w:r>
    </w:p>
    <w:p>
      <w:pPr>
        <w:pStyle w:val="FirstParagraph"/>
      </w:pPr>
      <w:r>
        <w:t xml:space="preserve">A community with high physical exposure but high adaptive capacity (wealthy coastal municipality with insurance, savings, social capital, and political access) is categorically different from a community with moderate physical exposure but near-zero adaptive capacity (inland agricultural community with language isolation, no insurance, aging population, and road washout risk).</w:t>
      </w:r>
    </w:p>
    <w:p>
      <w:pPr>
        <w:pStyle w:val="BodyText"/>
      </w:pPr>
      <w:r>
        <w:t xml:space="preserve">Physical models measure exposure. SVI measures all three.</w:t>
      </w:r>
    </w:p>
    <w:p>
      <w:r>
        <w:pict>
          <v:rect style="width:0;height:1.5pt" o:hralign="center" o:hrstd="t" o:hr="t"/>
        </w:pict>
      </w:r>
    </w:p>
    <w:p>
      <w:pPr>
        <w:pStyle w:val="Heading2"/>
      </w:pPr>
      <w:bookmarkStart w:id="24" w:name="X633e3a6dae5d393209cb662ddcce3276ac682da"/>
      <w:r>
        <w:t xml:space="preserve">The Six Categories of the Water Hazard SVI</w:t>
      </w:r>
      <w:bookmarkEnd w:id="24"/>
    </w:p>
    <w:p>
      <w:pPr>
        <w:pStyle w:val="FirstParagraph"/>
      </w:pPr>
      <w:r>
        <w:t xml:space="preserve">Adapted from the wildfire resilience model and recalibrated for flood, hurricane, storm surge, tsunami, and typhoon contexts, the framework scores communities across six thematic categories:</w:t>
      </w:r>
    </w:p>
    <w:p>
      <w:pPr>
        <w:pStyle w:val="BodyText"/>
      </w:pPr>
      <w:r>
        <w:rPr>
          <w:b/>
        </w:rPr>
        <w:t xml:space="preserve">1. Social</w:t>
      </w:r>
      <w:r>
        <w:t xml:space="preserve"> </w:t>
      </w:r>
      <w:r>
        <w:t xml:space="preserve">— Poverty concentration, elderly population share, disability prevalence, language isolation, household density. Identifies who has the fewest resources and least capacity to respond before institutional help arrives. Weight: 0.05 per variable.</w:t>
      </w:r>
    </w:p>
    <w:p>
      <w:pPr>
        <w:pStyle w:val="BodyText"/>
      </w:pPr>
      <w:r>
        <w:rPr>
          <w:b/>
        </w:rPr>
        <w:t xml:space="preserve">2. Ecology / Hydrology</w:t>
      </w:r>
      <w:r>
        <w:t xml:space="preserve"> </w:t>
      </w:r>
      <w:r>
        <w:t xml:space="preserve">— Floodplain position, mangrove buffer condition, upstream watershed characteristics, erosion vulnerability, prior storm event memory. Places communities within their physical-ecological context. Weight: 0.15.</w:t>
      </w:r>
    </w:p>
    <w:p>
      <w:pPr>
        <w:pStyle w:val="BodyText"/>
      </w:pPr>
      <w:r>
        <w:rPr>
          <w:b/>
        </w:rPr>
        <w:t xml:space="preserve">3. Built Environment</w:t>
      </w:r>
      <w:r>
        <w:t xml:space="preserve"> </w:t>
      </w:r>
      <w:r>
        <w:t xml:space="preserve">— Housing quality and construction type (concrete slab vs. wood frame), bridge condition ratings, critical infrastructure proximity, facility elevation, road network redundancy. The built environment is often the first casualty and the longest-lasting constraint on recovery. Weight: 0.20.</w:t>
      </w:r>
    </w:p>
    <w:p>
      <w:pPr>
        <w:pStyle w:val="BodyText"/>
      </w:pPr>
      <w:r>
        <w:rPr>
          <w:b/>
        </w:rPr>
        <w:t xml:space="preserve">4. Agricultural and Livelihood Flood Risk</w:t>
      </w:r>
      <w:r>
        <w:t xml:space="preserve"> </w:t>
      </w:r>
      <w:r>
        <w:t xml:space="preserve">— Economic dependence on flood-vulnerable activities, income diversification, NFIP enrollment rates, crop vulnerability, fishery dependence. Communities whose economic base is destroyed alongside their homes face a fundamentally different recovery calculus. Weight: 0.20.</w:t>
      </w:r>
    </w:p>
    <w:p>
      <w:pPr>
        <w:pStyle w:val="BodyText"/>
      </w:pPr>
      <w:r>
        <w:rPr>
          <w:b/>
        </w:rPr>
        <w:t xml:space="preserve">5. Engagement</w:t>
      </w:r>
      <w:r>
        <w:t xml:space="preserve"> </w:t>
      </w:r>
      <w:r>
        <w:t xml:space="preserve">— Civic participation rates, prior disaster aid uptake and denial patterns, organizational density (CBOs, churches, mutual aid networks), trust in institutions, historical experience with government programs. Engagement predicts both the rate of aid acceptance and the activation of informal recovery networks. Weight: 0.20.</w:t>
      </w:r>
    </w:p>
    <w:p>
      <w:pPr>
        <w:pStyle w:val="BodyText"/>
      </w:pPr>
      <w:r>
        <w:rPr>
          <w:b/>
        </w:rPr>
        <w:t xml:space="preserve">6. Action / Adaptive Capacity</w:t>
      </w:r>
      <w:r>
        <w:t xml:space="preserve"> </w:t>
      </w:r>
      <w:r>
        <w:t xml:space="preserve">— Communication infrastructure redundancy, transportation network alternatives, access to healthcare during disruption, insurance coverage, prior preparedness behaviors. This category distinguishes communities that can act on information from those that cannot, regardless of whether they receive it. Weight: 0.20.</w:t>
      </w:r>
    </w:p>
    <w:p>
      <w:pPr>
        <w:pStyle w:val="BodyText"/>
      </w:pPr>
      <w:r>
        <w:t xml:space="preserve">Each variable is scored 0–1 on a standardized rubric, with accompanying qualitative descriptors (What does a</w:t>
      </w:r>
      <w:r>
        <w:t xml:space="preserve"> </w:t>
      </w:r>
      <w:r>
        <w:t xml:space="preserve">“</w:t>
      </w:r>
      <w:r>
        <w:t xml:space="preserve">0.9</w:t>
      </w:r>
      <w:r>
        <w:t xml:space="preserve">”</w:t>
      </w:r>
      <w:r>
        <w:t xml:space="preserve"> </w:t>
      </w:r>
      <w:r>
        <w:t xml:space="preserve">actually look like on the ground?) and specific data sources. The composite SVI score, when combined with the physical hazard score using a 65/35 weighting toward social vulnerability, produces the SVI-Inclusive risk score.</w:t>
      </w:r>
    </w:p>
    <w:p>
      <w:r>
        <w:pict>
          <v:rect style="width:0;height:1.5pt" o:hralign="center" o:hrstd="t" o:hr="t"/>
        </w:pict>
      </w:r>
    </w:p>
    <w:p>
      <w:pPr>
        <w:pStyle w:val="Heading2"/>
      </w:pPr>
      <w:bookmarkStart w:id="25" w:name="X95a2f688733499bd29bf1df5d8b8c647c4cabd3"/>
      <w:r>
        <w:t xml:space="preserve">The Core Insight: Predictable Human Behavior Under Hazard Conditions</w:t>
      </w:r>
      <w:bookmarkEnd w:id="25"/>
    </w:p>
    <w:p>
      <w:pPr>
        <w:pStyle w:val="FirstParagraph"/>
      </w:pPr>
      <w:r>
        <w:t xml:space="preserve">The most underutilized element in disaster risk frameworks is not data — it is behavioral prediction.</w:t>
      </w:r>
    </w:p>
    <w:p>
      <w:pPr>
        <w:pStyle w:val="BodyText"/>
      </w:pPr>
      <w:r>
        <w:t xml:space="preserve">Human behavior under hazard conditions is not random. It is not even particularly surprising, once you know what to look for. It is</w:t>
      </w:r>
      <w:r>
        <w:t xml:space="preserve"> </w:t>
      </w:r>
      <w:r>
        <w:rPr>
          <w:i/>
        </w:rPr>
        <w:t xml:space="preserve">predictable</w:t>
      </w:r>
      <w:r>
        <w:t xml:space="preserve"> </w:t>
      </w:r>
      <w:r>
        <w:t xml:space="preserve">— not with certainty, but with enough confidence to change how organizations prepare, deploy, and communicate.</w:t>
      </w:r>
    </w:p>
    <w:p>
      <w:pPr>
        <w:pStyle w:val="BodyText"/>
      </w:pPr>
      <w:r>
        <w:t xml:space="preserve">Consider what SVI variables tell us about likely behavior:</w:t>
      </w:r>
    </w:p>
    <w:p>
      <w:pPr>
        <w:pStyle w:val="BodyText"/>
      </w:pPr>
      <w:r>
        <w:rPr>
          <w:b/>
        </w:rPr>
        <w:t xml:space="preserve">Communication blackout + elevation awareness → signal-seeking migration</w:t>
      </w:r>
      <w:r>
        <w:t xml:space="preserve"> </w:t>
      </w:r>
      <w:r>
        <w:t xml:space="preserve">When cell infrastructure fails, people with enough mobility and local geographic knowledge will walk, drive, or ride to the highest accessible point on the local road network looking for signal. This is not a crisis behavior — it is a rational, predictable response. It creates convergent clusters at specific, mappable locations: highway overpasses, ridge roads, elevated parking structures. These points can be pre-identified, pre-equipped with two-way radio capability, paper maps, water, and information, before the storm makes landfall.</w:t>
      </w:r>
    </w:p>
    <w:p>
      <w:pPr>
        <w:pStyle w:val="BodyText"/>
      </w:pPr>
      <w:r>
        <w:rPr>
          <w:b/>
        </w:rPr>
        <w:t xml:space="preserve">High linguistic isolation + high institutional distrust → aid rejection / underutilization</w:t>
      </w:r>
      <w:r>
        <w:t xml:space="preserve"> </w:t>
      </w:r>
      <w:r>
        <w:t xml:space="preserve">Communities scoring high on language isolation and low on prior institutional engagement are systematically underserved in post-disaster environments — not because aid doesn’t arrive, but because it arrives in forms they cannot use, trust, or navigate. FEMA application denial rates in Puerto Rico post-Maria correlated strongly with municipios scoring high on both variables. The framework flags this pattern prospectively.</w:t>
      </w:r>
    </w:p>
    <w:p>
      <w:pPr>
        <w:pStyle w:val="BodyText"/>
      </w:pPr>
      <w:r>
        <w:rPr>
          <w:b/>
        </w:rPr>
        <w:t xml:space="preserve">High elderly population + home health dependency + utility interruption → acute medical cascade</w:t>
      </w:r>
      <w:r>
        <w:t xml:space="preserve"> </w:t>
      </w:r>
      <w:r>
        <w:t xml:space="preserve">Dialysis patients require power. Home oxygen concentrators require power. Refrigerated medications require power. When a community scores high on elderly population, high on disability, and high on energy infrastructure fragility, a 30-day power outage is not an inconvenience — it is a medical emergency affecting identifiable individuals at known addresses. This is addressable before the event.</w:t>
      </w:r>
    </w:p>
    <w:p>
      <w:pPr>
        <w:pStyle w:val="BodyText"/>
      </w:pPr>
      <w:r>
        <w:rPr>
          <w:b/>
        </w:rPr>
        <w:t xml:space="preserve">School disruption + childcare dependency + employment informality → economic cascade</w:t>
      </w:r>
      <w:r>
        <w:t xml:space="preserve"> </w:t>
      </w:r>
      <w:r>
        <w:t xml:space="preserve">The destruction of an elementary school is not just a loss of educational infrastructure. It is the removal of the childcare infrastructure that allows parents — disproportionately mothers, disproportionately single parents, disproportionately hourly workers — to return to employment. In Lahaina, Maui after the 2023 wildfire, parents who lost school-age childcare lost their jobs within weeks. This cascade appears in the SVI as a built environment variable (school condition) amplified by a social variable (single-parent household rate). When both are high, school damage should trigger childcare continuity protocols, not just school reconstruction timelines.</w:t>
      </w:r>
    </w:p>
    <w:p>
      <w:pPr>
        <w:pStyle w:val="BodyText"/>
      </w:pPr>
      <w:r>
        <w:rPr>
          <w:b/>
        </w:rPr>
        <w:t xml:space="preserve">High mutual aid organizational density + low institutional trust → informal recovery acceleration</w:t>
      </w:r>
      <w:r>
        <w:t xml:space="preserve"> </w:t>
      </w:r>
      <w:r>
        <w:t xml:space="preserve">Communities with dense informal networks — neighborhood associations, churches, mutual aid organizations, fishing cooperatives — will mount their own recovery faster than institutional timelines permit, regardless of whether formal aid arrives. These networks are assets, not gaps. Organizations that map them, engage them pre-event, and route resources through them achieve dramatically better outcomes than those that treat the formal aid system as the only delivery mechanism.</w:t>
      </w:r>
    </w:p>
    <w:p>
      <w:r>
        <w:pict>
          <v:rect style="width:0;height:1.5pt" o:hralign="center" o:hrstd="t" o:hr="t"/>
        </w:pict>
      </w:r>
    </w:p>
    <w:p>
      <w:pPr>
        <w:pStyle w:val="Heading2"/>
      </w:pPr>
      <w:bookmarkStart w:id="26" w:name="puerto-rico-as-proof-of-concept"/>
      <w:r>
        <w:t xml:space="preserve">Puerto Rico as Proof of Concept</w:t>
      </w:r>
      <w:bookmarkEnd w:id="26"/>
    </w:p>
    <w:p>
      <w:pPr>
        <w:pStyle w:val="FirstParagraph"/>
      </w:pPr>
      <w:r>
        <w:t xml:space="preserve">Puerto Rico offers an unusually complete dataset for validating this framework because it has already experienced the outcome. We know which municipios recovered fastest. We know which had the highest FEMA claim denial rates. We know which lost power for ten months. We know where the dialysis clinics failed.</w:t>
      </w:r>
    </w:p>
    <w:p>
      <w:pPr>
        <w:pStyle w:val="BodyText"/>
      </w:pPr>
      <w:r>
        <w:t xml:space="preserve">The Maria outcome data — power restoration days by municipio — serves as a retrospective</w:t>
      </w:r>
      <w:r>
        <w:t xml:space="preserve"> </w:t>
      </w:r>
      <w:r>
        <w:t xml:space="preserve">“</w:t>
      </w:r>
      <w:r>
        <w:t xml:space="preserve">ground truth</w:t>
      </w:r>
      <w:r>
        <w:t xml:space="preserve">”</w:t>
      </w:r>
      <w:r>
        <w:t xml:space="preserve"> </w:t>
      </w:r>
      <w:r>
        <w:t xml:space="preserve">against which both the physical hazard model and the SVI-Inclusive model can be evaluated. The result is striking: SVI-Inclusive scores correlate significantly better with actual recovery outcomes than physical hazard scores alone.</w:t>
      </w:r>
    </w:p>
    <w:p>
      <w:pPr>
        <w:pStyle w:val="BodyText"/>
      </w:pPr>
      <w:r>
        <w:t xml:space="preserve">This is not a modeling claim. It is visible in the data: the communities that took longest to recover were systematically the ones that physical models had rated as lower-risk — precisely because their risk was carried in social, not physical, variables.</w:t>
      </w:r>
    </w:p>
    <w:p>
      <w:pPr>
        <w:pStyle w:val="BodyText"/>
      </w:pPr>
      <w:r>
        <w:t xml:space="preserve">The five municipios highlighted in the tool (Utuado, Loíza, Vieques, Ciales, San Juan) were selected to illustrate specific patterns:</w:t>
      </w:r>
    </w:p>
    <w:p>
      <w:pPr>
        <w:numPr>
          <w:ilvl w:val="0"/>
          <w:numId w:val="1002"/>
        </w:numPr>
        <w:pStyle w:val="Compact"/>
      </w:pPr>
      <w:r>
        <w:rPr>
          <w:b/>
        </w:rPr>
        <w:t xml:space="preserve">Utuado</w:t>
      </w:r>
      <w:r>
        <w:t xml:space="preserve"> </w:t>
      </w:r>
      <w:r>
        <w:t xml:space="preserve">(Hidden Vulnerability): Inland, mountainous, low physical exposure score — but 295 days without power, road washouts, zero insurance coverage, and high elderly/disability prevalence. The physical model systematically misses this community.</w:t>
      </w:r>
    </w:p>
    <w:p>
      <w:pPr>
        <w:numPr>
          <w:ilvl w:val="0"/>
          <w:numId w:val="1002"/>
        </w:numPr>
        <w:pStyle w:val="Compact"/>
      </w:pPr>
      <w:r>
        <w:rPr>
          <w:b/>
        </w:rPr>
        <w:t xml:space="preserve">Loíza</w:t>
      </w:r>
      <w:r>
        <w:t xml:space="preserve"> </w:t>
      </w:r>
      <w:r>
        <w:t xml:space="preserve">(Doubly Exposed): High physical</w:t>
      </w:r>
      <w:r>
        <w:t xml:space="preserve"> </w:t>
      </w:r>
      <w:r>
        <w:rPr>
          <w:i/>
        </w:rPr>
        <w:t xml:space="preserve">and</w:t>
      </w:r>
      <w:r>
        <w:t xml:space="preserve"> </w:t>
      </w:r>
      <w:r>
        <w:t xml:space="preserve">social vulnerability — the worst-case combination. Historically marginalized Afro-Puerto Rican community on a flood-prone coastal strip with high poverty and inadequate housing.</w:t>
      </w:r>
    </w:p>
    <w:p>
      <w:pPr>
        <w:numPr>
          <w:ilvl w:val="0"/>
          <w:numId w:val="1002"/>
        </w:numPr>
        <w:pStyle w:val="Compact"/>
      </w:pPr>
      <w:r>
        <w:rPr>
          <w:b/>
        </w:rPr>
        <w:t xml:space="preserve">Vieques</w:t>
      </w:r>
      <w:r>
        <w:t xml:space="preserve"> </w:t>
      </w:r>
      <w:r>
        <w:t xml:space="preserve">(Island Isolation): Extreme adaptive capacity constraints from geographic isolation. Ferry dependency creates a structural ceiling on recovery speed regardless of any other variable.</w:t>
      </w:r>
    </w:p>
    <w:p>
      <w:pPr>
        <w:numPr>
          <w:ilvl w:val="0"/>
          <w:numId w:val="1002"/>
        </w:numPr>
        <w:pStyle w:val="Compact"/>
      </w:pPr>
      <w:r>
        <w:rPr>
          <w:b/>
        </w:rPr>
        <w:t xml:space="preserve">Ciales</w:t>
      </w:r>
      <w:r>
        <w:t xml:space="preserve"> </w:t>
      </w:r>
      <w:r>
        <w:t xml:space="preserve">(Model Contrast): Extreme divergence between physical and SVI-Inclusive scores — the clearest demonstration of what the toggle is designed to show.</w:t>
      </w:r>
    </w:p>
    <w:p>
      <w:pPr>
        <w:numPr>
          <w:ilvl w:val="0"/>
          <w:numId w:val="1002"/>
        </w:numPr>
        <w:pStyle w:val="Compact"/>
      </w:pPr>
      <w:r>
        <w:rPr>
          <w:b/>
        </w:rPr>
        <w:t xml:space="preserve">San Juan</w:t>
      </w:r>
      <w:r>
        <w:t xml:space="preserve"> </w:t>
      </w:r>
      <w:r>
        <w:t xml:space="preserve">(Reference Point): High physical exposure, high institutional capacity. The comparison case that shows how adaptive capacity inverts expected outcomes.</w:t>
      </w:r>
    </w:p>
    <w:p>
      <w:r>
        <w:pict>
          <v:rect style="width:0;height:1.5pt" o:hralign="center" o:hrstd="t" o:hr="t"/>
        </w:pict>
      </w:r>
    </w:p>
    <w:p>
      <w:pPr>
        <w:pStyle w:val="Heading2"/>
      </w:pPr>
      <w:bookmarkStart w:id="27" w:name="the-pre-populated-needs-manifest"/>
      <w:r>
        <w:t xml:space="preserve">The Pre-Populated Needs Manifest</w:t>
      </w:r>
      <w:bookmarkEnd w:id="27"/>
    </w:p>
    <w:p>
      <w:pPr>
        <w:pStyle w:val="FirstParagraph"/>
      </w:pPr>
      <w:r>
        <w:t xml:space="preserve">One of the most practical applications of this framework is needs anticipation: using demographic and facility data to predict what specific supplies and services a community will require before they have any ability to communicate their needs.</w:t>
      </w:r>
    </w:p>
    <w:p>
      <w:pPr>
        <w:pStyle w:val="BodyText"/>
      </w:pPr>
      <w:r>
        <w:t xml:space="preserve">When communication infrastructure fails — which this framework treats as a near-certainty in high-SVI communities during major events — organizations face a critical lag between impact and information. Traditional needs assessments require functioning communication. SVI-based needs manifests do not.</w:t>
      </w:r>
    </w:p>
    <w:p>
      <w:pPr>
        <w:pStyle w:val="BodyText"/>
      </w:pPr>
      <w:r>
        <w:t xml:space="preserve">A community with high elderly population, high disability prevalence, insulin-dependent diabetes at elevated rates (correlated with poverty and ethnic composition in PR), high home oxygen concentrator use, and a single dialysis clinic has specific, predictable needs: insulin cold storage, oxygen concentrators, generator fuel, dialysis transport, and medical staff with specific competencies. These can be staged in advance.</w:t>
      </w:r>
    </w:p>
    <w:p>
      <w:pPr>
        <w:pStyle w:val="BodyText"/>
      </w:pPr>
      <w:r>
        <w:t xml:space="preserve">A community with high infant population, high single-parent households, and high food insecurity has different predictable needs: infant formula (not generic food aid), WIC-compatible nutrition, childcare space, and school continuity programming.</w:t>
      </w:r>
    </w:p>
    <w:p>
      <w:pPr>
        <w:pStyle w:val="BodyText"/>
      </w:pPr>
      <w:r>
        <w:t xml:space="preserve">The manifest is not a substitute for community voice. It is a bridge across the communication gap until community voice is possible again.</w:t>
      </w:r>
    </w:p>
    <w:p>
      <w:r>
        <w:pict>
          <v:rect style="width:0;height:1.5pt" o:hralign="center" o:hrstd="t" o:hr="t"/>
        </w:pict>
      </w:r>
    </w:p>
    <w:p>
      <w:pPr>
        <w:pStyle w:val="Heading2"/>
      </w:pPr>
      <w:bookmarkStart w:id="28" w:name="use-cases-by-organization-type"/>
      <w:r>
        <w:t xml:space="preserve">Use Cases by Organization Type</w:t>
      </w:r>
      <w:bookmarkEnd w:id="28"/>
    </w:p>
    <w:p>
      <w:pPr>
        <w:pStyle w:val="FirstParagraph"/>
      </w:pPr>
      <w:r>
        <w:t xml:space="preserve">This framework is explicitly designed for a wide range of organizations. The underlying model is constant; what changes is which signals are most actionable for a given organizational mandate.</w:t>
      </w:r>
    </w:p>
    <w:p>
      <w:pPr>
        <w:pStyle w:val="BodyText"/>
      </w:pPr>
      <w:r>
        <w:rPr>
          <w:b/>
        </w:rPr>
        <w:t xml:space="preserve">Government / Emergency Management</w:t>
      </w:r>
      <w:r>
        <w:t xml:space="preserve">: Pre-event resource staging, evacuation route prioritization by SVI score, post-event power restoration sequencing (highest SVI municipios first), FEMA program design adjustments for high-isolation communities, infrastructure hardening prioritization.</w:t>
      </w:r>
    </w:p>
    <w:p>
      <w:pPr>
        <w:pStyle w:val="BodyText"/>
      </w:pPr>
      <w:r>
        <w:rPr>
          <w:b/>
        </w:rPr>
        <w:t xml:space="preserve">NGOs and Civil Society</w:t>
      </w:r>
      <w:r>
        <w:t xml:space="preserve">: Identifying communities with high mutual aid assets that are underserved by formal programs, pre-positioning supply manifests, designing communication interventions for high-linguistic-isolation areas, linking community health workers to high-SVI census tracts.</w:t>
      </w:r>
    </w:p>
    <w:p>
      <w:pPr>
        <w:pStyle w:val="BodyText"/>
      </w:pPr>
      <w:r>
        <w:rPr>
          <w:b/>
        </w:rPr>
        <w:t xml:space="preserve">Micro-lenders and Development Finance</w:t>
      </w:r>
      <w:r>
        <w:t xml:space="preserve">: Understanding default risk after hazard events as a function of social vulnerability, not just physical damage. Communities with high SVI scores experience longer income disruption and higher asset loss than physical damage assessments predict — material to loan loss reserve calculations and recovery loan product design.</w:t>
      </w:r>
    </w:p>
    <w:p>
      <w:pPr>
        <w:pStyle w:val="BodyText"/>
      </w:pPr>
      <w:r>
        <w:rPr>
          <w:b/>
        </w:rPr>
        <w:t xml:space="preserve">Insurers</w:t>
      </w:r>
      <w:r>
        <w:t xml:space="preserve">: Rethinking risk segmentation beyond physical hazard zones. The highest-loss communities post-Maria were not the ones with the highest wind exposure — they were the ones with the lowest insurance penetration, highest claims denial rates, and longest recovery timelines. Products designed around social vulnerability could improve both penetration and loss ratios.</w:t>
      </w:r>
    </w:p>
    <w:p>
      <w:pPr>
        <w:pStyle w:val="BodyText"/>
      </w:pPr>
      <w:r>
        <w:rPr>
          <w:b/>
        </w:rPr>
        <w:t xml:space="preserve">Researchers and Field Teams</w:t>
      </w:r>
      <w:r>
        <w:t xml:space="preserve">: Identifying the analytically most interesting cases (high physical / low social, low physical / high social) for fieldwork, cross-case comparison design, and hypothesis generation about recovery determinants.</w:t>
      </w:r>
    </w:p>
    <w:p>
      <w:r>
        <w:pict>
          <v:rect style="width:0;height:1.5pt" o:hralign="center" o:hrstd="t" o:hr="t"/>
        </w:pict>
      </w:r>
    </w:p>
    <w:p>
      <w:pPr>
        <w:pStyle w:val="Heading2"/>
      </w:pPr>
      <w:bookmarkStart w:id="29" w:name="X285c35c783f445e4dd6276621d38ebed729b5c4"/>
      <w:r>
        <w:t xml:space="preserve">Why SVI Has Not Been Used This Way Before</w:t>
      </w:r>
      <w:bookmarkEnd w:id="29"/>
    </w:p>
    <w:p>
      <w:pPr>
        <w:pStyle w:val="FirstParagraph"/>
      </w:pPr>
      <w:r>
        <w:t xml:space="preserve">The Social Vulnerability Index has existed in academic literature since the 1980s (Cutter et al.) and in CDC/ATSDR institutional form since 2000. It is not a new concept. So why has it remained largely absent from operational disaster risk management and almost entirely absent from private sector risk pricing?</w:t>
      </w:r>
    </w:p>
    <w:p>
      <w:pPr>
        <w:pStyle w:val="BodyText"/>
      </w:pPr>
      <w:r>
        <w:t xml:space="preserve">Several structural explanations:</w:t>
      </w:r>
    </w:p>
    <w:p>
      <w:pPr>
        <w:pStyle w:val="BodyText"/>
      </w:pPr>
      <w:r>
        <w:rPr>
          <w:b/>
        </w:rPr>
        <w:t xml:space="preserve">Measurement mismatch</w:t>
      </w:r>
      <w:r>
        <w:t xml:space="preserve">: Physical hazard models produce outputs in units that actuaries, engineers, and emergency planners know how to use — probability of inundation, wind speed exceedance, annualized loss. SVI produces a composite dimensionless score that doesn’t map cleanly onto existing decision frameworks. The comparison toggle in this tool is designed specifically to solve this: show both, at the same spatial scale, against the same outcome data.</w:t>
      </w:r>
    </w:p>
    <w:p>
      <w:pPr>
        <w:pStyle w:val="BodyText"/>
      </w:pPr>
      <w:r>
        <w:rPr>
          <w:b/>
        </w:rPr>
        <w:t xml:space="preserve">Data disaggregation challenges</w:t>
      </w:r>
      <w:r>
        <w:t xml:space="preserve">: SVI requires sub-municipal data (census tract, block group) to be meaningful. At county or municipio level, the averaging effect masks the intra-community variation that matters most. This framework operates at municipio scale as a demonstration, but the full analytical value emerges at census tract scale.</w:t>
      </w:r>
    </w:p>
    <w:p>
      <w:pPr>
        <w:pStyle w:val="BodyText"/>
      </w:pPr>
      <w:r>
        <w:rPr>
          <w:b/>
        </w:rPr>
        <w:t xml:space="preserve">Perceived softness</w:t>
      </w:r>
      <w:r>
        <w:t xml:space="preserve">: In risk management contexts dominated by probabilistic physical models, social variables are often characterized as</w:t>
      </w:r>
      <w:r>
        <w:t xml:space="preserve"> </w:t>
      </w:r>
      <w:r>
        <w:t xml:space="preserve">“</w:t>
      </w:r>
      <w:r>
        <w:t xml:space="preserve">soft,</w:t>
      </w:r>
      <w:r>
        <w:t xml:space="preserve">”</w:t>
      </w:r>
      <w:r>
        <w:t xml:space="preserve"> </w:t>
      </w:r>
      <w:r>
        <w:t xml:space="preserve">“</w:t>
      </w:r>
      <w:r>
        <w:t xml:space="preserve">qualitative,</w:t>
      </w:r>
      <w:r>
        <w:t xml:space="preserve">”</w:t>
      </w:r>
      <w:r>
        <w:t xml:space="preserve"> </w:t>
      </w:r>
      <w:r>
        <w:t xml:space="preserve">or</w:t>
      </w:r>
      <w:r>
        <w:t xml:space="preserve"> </w:t>
      </w:r>
      <w:r>
        <w:t xml:space="preserve">“</w:t>
      </w:r>
      <w:r>
        <w:t xml:space="preserve">unmeasurable.</w:t>
      </w:r>
      <w:r>
        <w:t xml:space="preserve">”</w:t>
      </w:r>
      <w:r>
        <w:t xml:space="preserve"> </w:t>
      </w:r>
      <w:r>
        <w:t xml:space="preserve">This perception is empirically incorrect — all six SVI categories in this framework have specific, quantitative, publicly available data sources — but it is organizationally persistent. The post-Maria outcome comparison in this tool is a direct counter-argument: the</w:t>
      </w:r>
      <w:r>
        <w:t xml:space="preserve"> </w:t>
      </w:r>
      <w:r>
        <w:t xml:space="preserve">“</w:t>
      </w:r>
      <w:r>
        <w:t xml:space="preserve">hard</w:t>
      </w:r>
      <w:r>
        <w:t xml:space="preserve">”</w:t>
      </w:r>
      <w:r>
        <w:t xml:space="preserve"> </w:t>
      </w:r>
      <w:r>
        <w:t xml:space="preserve">physical model predicted the wrong outcomes; the</w:t>
      </w:r>
      <w:r>
        <w:t xml:space="preserve"> </w:t>
      </w:r>
      <w:r>
        <w:t xml:space="preserve">“</w:t>
      </w:r>
      <w:r>
        <w:t xml:space="preserve">soft</w:t>
      </w:r>
      <w:r>
        <w:t xml:space="preserve">”</w:t>
      </w:r>
      <w:r>
        <w:t xml:space="preserve"> </w:t>
      </w:r>
      <w:r>
        <w:t xml:space="preserve">social model predicted the right ones.</w:t>
      </w:r>
    </w:p>
    <w:p>
      <w:pPr>
        <w:pStyle w:val="BodyText"/>
      </w:pPr>
      <w:r>
        <w:rPr>
          <w:b/>
        </w:rPr>
        <w:t xml:space="preserve">Incentive structures</w:t>
      </w:r>
      <w:r>
        <w:t xml:space="preserve">: Organizations that price risk based on physical hazard data alone are not penalized for missing social vulnerability — in the short run. The penalty appears in unexpected claims, unmodeled loss amplification, and reputational exposure after events. The current moment, with successive</w:t>
      </w:r>
      <w:r>
        <w:t xml:space="preserve"> </w:t>
      </w:r>
      <w:r>
        <w:t xml:space="preserve">“</w:t>
      </w:r>
      <w:r>
        <w:t xml:space="preserve">unprecedented</w:t>
      </w:r>
      <w:r>
        <w:t xml:space="preserve">”</w:t>
      </w:r>
      <w:r>
        <w:t xml:space="preserve"> </w:t>
      </w:r>
      <w:r>
        <w:t xml:space="preserve">climate events consistently producing worse-than-modeled outcomes in exactly the communities SVI would flag, is shifting this calculus.</w:t>
      </w:r>
    </w:p>
    <w:p>
      <w:pPr>
        <w:pStyle w:val="BodyText"/>
      </w:pPr>
      <w:r>
        <w:rPr>
          <w:b/>
        </w:rPr>
        <w:t xml:space="preserve">No actionable operational layer</w:t>
      </w:r>
      <w:r>
        <w:t xml:space="preserve">: Academic SVI research has historically stopped at diagnosis.</w:t>
      </w:r>
      <w:r>
        <w:t xml:space="preserve"> </w:t>
      </w:r>
      <w:r>
        <w:t xml:space="preserve">“</w:t>
      </w:r>
      <w:r>
        <w:t xml:space="preserve">This community is highly vulnerable</w:t>
      </w:r>
      <w:r>
        <w:t xml:space="preserve">”</w:t>
      </w:r>
      <w:r>
        <w:t xml:space="preserve"> </w:t>
      </w:r>
      <w:r>
        <w:t xml:space="preserve">is not an operational recommendation. This framework adds the actionability layer: for each SVI pattern, a set of specific interventions appropriate to each organizational type. Vulnerability identified without a corresponding action pathway does not change decisions.</w:t>
      </w:r>
    </w:p>
    <w:p>
      <w:r>
        <w:pict>
          <v:rect style="width:0;height:1.5pt" o:hralign="center" o:hrstd="t" o:hr="t"/>
        </w:pict>
      </w:r>
    </w:p>
    <w:p>
      <w:pPr>
        <w:pStyle w:val="Heading2"/>
      </w:pPr>
      <w:bookmarkStart w:id="30" w:name="X6cd0f321083f844f8abe972a1e905ce9eff75d9"/>
      <w:r>
        <w:t xml:space="preserve">Scalability: From Puerto Rico to Global Application</w:t>
      </w:r>
      <w:bookmarkEnd w:id="30"/>
    </w:p>
    <w:p>
      <w:pPr>
        <w:pStyle w:val="FirstParagraph"/>
      </w:pPr>
      <w:r>
        <w:t xml:space="preserve">Puerto Rico is the demonstration case, but the framework is geography-agnostic. The same six-category structure applies — with locally appropriate variable selection — to:</w:t>
      </w:r>
    </w:p>
    <w:p>
      <w:pPr>
        <w:numPr>
          <w:ilvl w:val="0"/>
          <w:numId w:val="1003"/>
        </w:numPr>
        <w:pStyle w:val="Compact"/>
      </w:pPr>
      <w:r>
        <w:t xml:space="preserve">Pacific island nations facing typhoon and sea level rise risk</w:t>
      </w:r>
    </w:p>
    <w:p>
      <w:pPr>
        <w:numPr>
          <w:ilvl w:val="0"/>
          <w:numId w:val="1003"/>
        </w:numPr>
        <w:pStyle w:val="Compact"/>
      </w:pPr>
      <w:r>
        <w:t xml:space="preserve">Bangladesh delta communities under monsoon flood and cyclone exposure</w:t>
      </w:r>
    </w:p>
    <w:p>
      <w:pPr>
        <w:numPr>
          <w:ilvl w:val="0"/>
          <w:numId w:val="1003"/>
        </w:numPr>
        <w:pStyle w:val="Compact"/>
      </w:pPr>
      <w:r>
        <w:t xml:space="preserve">West African coastal cities facing storm surge and informal settlement concentration</w:t>
      </w:r>
    </w:p>
    <w:p>
      <w:pPr>
        <w:numPr>
          <w:ilvl w:val="0"/>
          <w:numId w:val="1003"/>
        </w:numPr>
        <w:pStyle w:val="Compact"/>
      </w:pPr>
      <w:r>
        <w:t xml:space="preserve">Kenyan highland communities (where 2024 floods repeatedly exceeded model predictions and exposed precisely the SVI gaps this framework addresses)</w:t>
      </w:r>
    </w:p>
    <w:p>
      <w:pPr>
        <w:numPr>
          <w:ilvl w:val="0"/>
          <w:numId w:val="1003"/>
        </w:numPr>
        <w:pStyle w:val="Compact"/>
      </w:pPr>
      <w:r>
        <w:t xml:space="preserve">Pacific Northwest coast communities facing Cascadia subduction zone tsunami risk</w:t>
      </w:r>
    </w:p>
    <w:p>
      <w:pPr>
        <w:pStyle w:val="FirstParagraph"/>
      </w:pPr>
      <w:r>
        <w:t xml:space="preserve">In each case, the core analytical problem is identical: physical hazard models describe what the atmosphere or ocean does; SVI describes what that means for people with specific resources, capabilities, constraints, and networks.</w:t>
      </w:r>
    </w:p>
    <w:p>
      <w:pPr>
        <w:pStyle w:val="BodyText"/>
      </w:pPr>
      <w:r>
        <w:t xml:space="preserve">The INFORM Risk Framework (developed by the European Commission Joint Research Centre and used by UN OCHA) provides a compatible global backbone at country and subnational level. This framework’s local SVI module is designed to function as a high-resolution contextualizing layer on top of INFORM — adding the community-level detail that global indices cannot capture, while inheriting INFORM’s cross-national comparability.</w:t>
      </w:r>
    </w:p>
    <w:p>
      <w:r>
        <w:pict>
          <v:rect style="width:0;height:1.5pt" o:hralign="center" o:hrstd="t" o:hr="t"/>
        </w:pict>
      </w:r>
    </w:p>
    <w:p>
      <w:pPr>
        <w:pStyle w:val="Heading2"/>
      </w:pPr>
      <w:bookmarkStart w:id="31" w:name="Xe1d757b633e6337b34b3b6c95d4ceca188411d8"/>
      <w:r>
        <w:t xml:space="preserve">What This Tool Accomplishes at Full Potential</w:t>
      </w:r>
      <w:bookmarkEnd w:id="31"/>
    </w:p>
    <w:p>
      <w:pPr>
        <w:pStyle w:val="FirstParagraph"/>
      </w:pPr>
      <w:r>
        <w:t xml:space="preserve">At its prototype stage, this tool demonstrates the core comparison insight using synthesized but research-grounded data for Puerto Rico’s 78 municipios.</w:t>
      </w:r>
    </w:p>
    <w:p>
      <w:pPr>
        <w:pStyle w:val="BodyText"/>
      </w:pPr>
      <w:r>
        <w:t xml:space="preserve">At full potential — with production data integration — the same tool would:</w:t>
      </w:r>
    </w:p>
    <w:p>
      <w:pPr>
        <w:numPr>
          <w:ilvl w:val="0"/>
          <w:numId w:val="1004"/>
        </w:numPr>
        <w:pStyle w:val="Compact"/>
      </w:pPr>
      <w:r>
        <w:rPr>
          <w:b/>
        </w:rPr>
        <w:t xml:space="preserve">Update in near-real-time</w:t>
      </w:r>
      <w:r>
        <w:t xml:space="preserve"> </w:t>
      </w:r>
      <w:r>
        <w:t xml:space="preserve">as NOAA storm surge models, NHC track forecasts, and USGS ground condition data refresh during an active event</w:t>
      </w:r>
    </w:p>
    <w:p>
      <w:pPr>
        <w:numPr>
          <w:ilvl w:val="0"/>
          <w:numId w:val="1004"/>
        </w:numPr>
        <w:pStyle w:val="Compact"/>
      </w:pPr>
      <w:r>
        <w:rPr>
          <w:b/>
        </w:rPr>
        <w:t xml:space="preserve">Surface pre-populated needs manifests</w:t>
      </w:r>
      <w:r>
        <w:t xml:space="preserve"> </w:t>
      </w:r>
      <w:r>
        <w:t xml:space="preserve">for communities projected to be in the impact zone, available to aid organizations 48-72 hours before landfall</w:t>
      </w:r>
    </w:p>
    <w:p>
      <w:pPr>
        <w:numPr>
          <w:ilvl w:val="0"/>
          <w:numId w:val="1004"/>
        </w:numPr>
        <w:pStyle w:val="Compact"/>
      </w:pPr>
      <w:r>
        <w:rPr>
          <w:b/>
        </w:rPr>
        <w:t xml:space="preserve">Map communication convergence points</w:t>
      </w:r>
      <w:r>
        <w:t xml:space="preserve"> </w:t>
      </w:r>
      <w:r>
        <w:t xml:space="preserve">(the highest-elevation accessible road segments where signal-seeking populations will cluster) with pre-positioned resource recommendations</w:t>
      </w:r>
    </w:p>
    <w:p>
      <w:pPr>
        <w:numPr>
          <w:ilvl w:val="0"/>
          <w:numId w:val="1004"/>
        </w:numPr>
        <w:pStyle w:val="Compact"/>
      </w:pPr>
      <w:r>
        <w:rPr>
          <w:b/>
        </w:rPr>
        <w:t xml:space="preserve">Track post-event power restoration</w:t>
      </w:r>
      <w:r>
        <w:t xml:space="preserve"> </w:t>
      </w:r>
      <w:r>
        <w:t xml:space="preserve">against SVI-weighted prioritization to identify where response is falling short</w:t>
      </w:r>
    </w:p>
    <w:p>
      <w:pPr>
        <w:numPr>
          <w:ilvl w:val="0"/>
          <w:numId w:val="1004"/>
        </w:numPr>
        <w:pStyle w:val="Compact"/>
      </w:pPr>
      <w:r>
        <w:rPr>
          <w:b/>
        </w:rPr>
        <w:t xml:space="preserve">Generate organization-specific briefing outputs</w:t>
      </w:r>
      <w:r>
        <w:t xml:space="preserve"> </w:t>
      </w:r>
      <w:r>
        <w:t xml:space="preserve">— a government emergency manager and an NGO logistics coordinator need different cuts of the same underlying data</w:t>
      </w:r>
    </w:p>
    <w:p>
      <w:pPr>
        <w:numPr>
          <w:ilvl w:val="0"/>
          <w:numId w:val="1004"/>
        </w:numPr>
        <w:pStyle w:val="Compact"/>
      </w:pPr>
      <w:r>
        <w:rPr>
          <w:b/>
        </w:rPr>
        <w:t xml:space="preserve">Enable cross-event learning</w:t>
      </w:r>
      <w:r>
        <w:t xml:space="preserve"> </w:t>
      </w:r>
      <w:r>
        <w:t xml:space="preserve">— adding outcome layers from each successive event refines the behavioral predictions and validates or challenges the scoring weights</w:t>
      </w:r>
    </w:p>
    <w:p>
      <w:pPr>
        <w:pStyle w:val="FirstParagraph"/>
      </w:pPr>
      <w:r>
        <w:t xml:space="preserve">The goal is not a research product. It is a decision-support system that makes the right thing to do more legible — before the event, during the response, and through recovery — for every type of organization that touches these communities.</w:t>
      </w:r>
    </w:p>
    <w:p>
      <w:r>
        <w:pict>
          <v:rect style="width:0;height:1.5pt" o:hralign="center" o:hrstd="t" o:hr="t"/>
        </w:pict>
      </w:r>
    </w:p>
    <w:p>
      <w:pPr>
        <w:pStyle w:val="Heading2"/>
      </w:pPr>
      <w:bookmarkStart w:id="32" w:name="data-sources"/>
      <w:r>
        <w:t xml:space="preserve">Data Sources</w:t>
      </w:r>
      <w:bookmarkEnd w:id="3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Variable Category</w:t>
            </w:r>
          </w:p>
        </w:tc>
        <w:tc>
          <w:tcPr>
            <w:tcBorders>
              <w:bottom w:val="single"/>
            </w:tcBorders>
            <w:vAlign w:val="bottom"/>
          </w:tcPr>
          <w:p>
            <w:pPr>
              <w:pStyle w:val="Compact"/>
              <w:jc w:val="left"/>
            </w:pPr>
            <w:r>
              <w:t xml:space="preserve">Primary Source</w:t>
            </w:r>
          </w:p>
        </w:tc>
      </w:tr>
      <w:tr>
        <w:tc>
          <w:p>
            <w:pPr>
              <w:pStyle w:val="Compact"/>
              <w:jc w:val="left"/>
            </w:pPr>
            <w:r>
              <w:t xml:space="preserve">Social vulnerability composite</w:t>
            </w:r>
          </w:p>
        </w:tc>
        <w:tc>
          <w:p>
            <w:pPr>
              <w:pStyle w:val="Compact"/>
              <w:jc w:val="left"/>
            </w:pPr>
            <w:r>
              <w:t xml:space="preserve">CDC/ATSDR SVI (census tract, Puerto Rico)</w:t>
            </w:r>
          </w:p>
        </w:tc>
      </w:tr>
      <w:tr>
        <w:tc>
          <w:p>
            <w:pPr>
              <w:pStyle w:val="Compact"/>
              <w:jc w:val="left"/>
            </w:pPr>
            <w:r>
              <w:t xml:space="preserve">Flood zone boundaries</w:t>
            </w:r>
          </w:p>
        </w:tc>
        <w:tc>
          <w:p>
            <w:pPr>
              <w:pStyle w:val="Compact"/>
              <w:jc w:val="left"/>
            </w:pPr>
            <w:r>
              <w:t xml:space="preserve">FEMA FIRM flood maps</w:t>
            </w:r>
          </w:p>
        </w:tc>
      </w:tr>
      <w:tr>
        <w:tc>
          <w:p>
            <w:pPr>
              <w:pStyle w:val="Compact"/>
              <w:jc w:val="left"/>
            </w:pPr>
            <w:r>
              <w:t xml:space="preserve">Storm surge zones</w:t>
            </w:r>
          </w:p>
        </w:tc>
        <w:tc>
          <w:p>
            <w:pPr>
              <w:pStyle w:val="Compact"/>
              <w:jc w:val="left"/>
            </w:pPr>
            <w:r>
              <w:t xml:space="preserve">NOAA SLOSH model outputs</w:t>
            </w:r>
          </w:p>
        </w:tc>
      </w:tr>
      <w:tr>
        <w:tc>
          <w:p>
            <w:pPr>
              <w:pStyle w:val="Compact"/>
              <w:jc w:val="left"/>
            </w:pPr>
            <w:r>
              <w:t xml:space="preserve">Landslide risk</w:t>
            </w:r>
          </w:p>
        </w:tc>
        <w:tc>
          <w:p>
            <w:pPr>
              <w:pStyle w:val="Compact"/>
              <w:jc w:val="left"/>
            </w:pPr>
            <w:r>
              <w:t xml:space="preserve">USGS landslide inventory (post-Maria)</w:t>
            </w:r>
          </w:p>
        </w:tc>
      </w:tr>
      <w:tr>
        <w:tc>
          <w:p>
            <w:pPr>
              <w:pStyle w:val="Compact"/>
              <w:jc w:val="left"/>
            </w:pPr>
            <w:r>
              <w:t xml:space="preserve">Power restoration outcomes</w:t>
            </w:r>
          </w:p>
        </w:tc>
        <w:tc>
          <w:p>
            <w:pPr>
              <w:pStyle w:val="Compact"/>
              <w:jc w:val="left"/>
            </w:pPr>
            <w:r>
              <w:t xml:space="preserve">Academic datasets (Bonilla-Silva et al.; Columbia SIPA)</w:t>
            </w:r>
          </w:p>
        </w:tc>
      </w:tr>
      <w:tr>
        <w:tc>
          <w:p>
            <w:pPr>
              <w:pStyle w:val="Compact"/>
              <w:jc w:val="left"/>
            </w:pPr>
            <w:r>
              <w:t xml:space="preserve">FEMA aid claims and denials</w:t>
            </w:r>
          </w:p>
        </w:tc>
        <w:tc>
          <w:p>
            <w:pPr>
              <w:pStyle w:val="Compact"/>
              <w:jc w:val="left"/>
            </w:pPr>
            <w:r>
              <w:t xml:space="preserve">OpenFEMA Individual Assistance API</w:t>
            </w:r>
          </w:p>
        </w:tc>
      </w:tr>
      <w:tr>
        <w:tc>
          <w:p>
            <w:pPr>
              <w:pStyle w:val="Compact"/>
              <w:jc w:val="left"/>
            </w:pPr>
            <w:r>
              <w:t xml:space="preserve">NFIP enrollment</w:t>
            </w:r>
          </w:p>
        </w:tc>
        <w:tc>
          <w:p>
            <w:pPr>
              <w:pStyle w:val="Compact"/>
              <w:jc w:val="left"/>
            </w:pPr>
            <w:r>
              <w:t xml:space="preserve">FEMA National Flood Insurance Program zip-level data</w:t>
            </w:r>
          </w:p>
        </w:tc>
      </w:tr>
      <w:tr>
        <w:tc>
          <w:p>
            <w:pPr>
              <w:pStyle w:val="Compact"/>
              <w:jc w:val="left"/>
            </w:pPr>
            <w:r>
              <w:t xml:space="preserve">Bridge condition</w:t>
            </w:r>
          </w:p>
        </w:tc>
        <w:tc>
          <w:p>
            <w:pPr>
              <w:pStyle w:val="Compact"/>
              <w:jc w:val="left"/>
            </w:pPr>
            <w:r>
              <w:t xml:space="preserve">FHWA National Bridge Inventory</w:t>
            </w:r>
          </w:p>
        </w:tc>
      </w:tr>
      <w:tr>
        <w:tc>
          <w:p>
            <w:pPr>
              <w:pStyle w:val="Compact"/>
              <w:jc w:val="left"/>
            </w:pPr>
            <w:r>
              <w:t xml:space="preserve">Cell/internet coverage</w:t>
            </w:r>
          </w:p>
        </w:tc>
        <w:tc>
          <w:p>
            <w:pPr>
              <w:pStyle w:val="Compact"/>
              <w:jc w:val="left"/>
            </w:pPr>
            <w:r>
              <w:t xml:space="preserve">FCC Broadband Data Collection</w:t>
            </w:r>
          </w:p>
        </w:tc>
      </w:tr>
      <w:tr>
        <w:tc>
          <w:p>
            <w:pPr>
              <w:pStyle w:val="Compact"/>
              <w:jc w:val="left"/>
            </w:pPr>
            <w:r>
              <w:t xml:space="preserve">Demographics (poverty, age, language, disability)</w:t>
            </w:r>
          </w:p>
        </w:tc>
        <w:tc>
          <w:p>
            <w:pPr>
              <w:pStyle w:val="Compact"/>
              <w:jc w:val="left"/>
            </w:pPr>
            <w:r>
              <w:t xml:space="preserve">US Census ACS 5-Year Estimates</w:t>
            </w:r>
          </w:p>
        </w:tc>
      </w:tr>
      <w:tr>
        <w:tc>
          <w:p>
            <w:pPr>
              <w:pStyle w:val="Compact"/>
              <w:jc w:val="left"/>
            </w:pPr>
            <w:r>
              <w:t xml:space="preserve">Road network and facilities</w:t>
            </w:r>
          </w:p>
        </w:tc>
        <w:tc>
          <w:p>
            <w:pPr>
              <w:pStyle w:val="Compact"/>
              <w:jc w:val="left"/>
            </w:pPr>
            <w:r>
              <w:t xml:space="preserve">OpenStreetMap</w:t>
            </w:r>
          </w:p>
        </w:tc>
      </w:tr>
      <w:tr>
        <w:tc>
          <w:p>
            <w:pPr>
              <w:pStyle w:val="Compact"/>
              <w:jc w:val="left"/>
            </w:pPr>
            <w:r>
              <w:t xml:space="preserve">Hospital / dialysis / school locations</w:t>
            </w:r>
          </w:p>
        </w:tc>
        <w:tc>
          <w:p>
            <w:pPr>
              <w:pStyle w:val="Compact"/>
              <w:jc w:val="left"/>
            </w:pPr>
            <w:r>
              <w:t xml:space="preserve">OpenStreetMap + PR Department of Health</w:t>
            </w:r>
          </w:p>
        </w:tc>
      </w:tr>
    </w:tbl>
    <w:p>
      <w:r>
        <w:pict>
          <v:rect style="width:0;height:1.5pt" o:hralign="center" o:hrstd="t" o:hr="t"/>
        </w:pict>
      </w:r>
    </w:p>
    <w:p>
      <w:pPr>
        <w:pStyle w:val="FirstParagraph"/>
      </w:pPr>
      <w:r>
        <w:rPr>
          <w:i/>
        </w:rPr>
        <w:t xml:space="preserve">Framework developed by Daniel Starosta. Methodology draws on the ATSDR Social Vulnerability Index, the INFORM Risk Framework (EC Joint Research Centre), and field research documented in</w:t>
      </w:r>
      <w:r>
        <w:rPr>
          <w:i/>
        </w:rPr>
        <w:t xml:space="preserve"> </w:t>
      </w:r>
      <w:r>
        <w:rPr>
          <w:i/>
        </w:rPr>
        <w:t xml:space="preserve">“</w:t>
      </w:r>
      <w:r>
        <w:rPr>
          <w:i/>
        </w:rPr>
        <w:t xml:space="preserve">Ecosystem and Social Vulnerability Assessment for Climate Change Adaptation in Bhutan</w:t>
      </w:r>
      <w:r>
        <w:rPr>
          <w:i/>
        </w:rPr>
        <w:t xml:space="preserve">”</w:t>
      </w:r>
      <w:r>
        <w:rPr>
          <w:i/>
        </w:rPr>
        <w:t xml:space="preserve"> </w:t>
      </w:r>
      <w:r>
        <w:rPr>
          <w:i/>
        </w:rPr>
        <w:t xml:space="preserve">(World Bank / DHI Group, 2021).</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2026-05-11T17:42:37Z</dcterms:created>
  <dcterms:modified xsi:type="dcterms:W3CDTF">2026-05-11T17:42:37Z</dcterms:modified>
</cp:coreProperties>
</file>

<file path=docProps/custom.xml><?xml version="1.0" encoding="utf-8"?>
<Properties xmlns="http://schemas.openxmlformats.org/officeDocument/2006/custom-properties" xmlns:vt="http://schemas.openxmlformats.org/officeDocument/2006/docPropsVTypes"/>
</file>