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AF5274" w14:paraId="37873D13" w14:textId="77777777" w:rsidTr="00E36889">
        <w:tc>
          <w:tcPr>
            <w:tcW w:w="9062" w:type="dxa"/>
            <w:gridSpan w:val="3"/>
            <w:shd w:val="clear" w:color="auto" w:fill="8EAADB" w:themeFill="accent1" w:themeFillTint="99"/>
          </w:tcPr>
          <w:p w14:paraId="583D021F" w14:textId="77777777" w:rsidR="00AF5274" w:rsidRPr="00F34A72" w:rsidRDefault="00AF5274" w:rsidP="00E36889">
            <w:pPr>
              <w:jc w:val="center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Spacecraft</w:t>
            </w:r>
          </w:p>
        </w:tc>
      </w:tr>
      <w:tr w:rsidR="00AF5274" w14:paraId="5D3FF97B" w14:textId="77777777" w:rsidTr="00E36889">
        <w:tc>
          <w:tcPr>
            <w:tcW w:w="5382" w:type="dxa"/>
          </w:tcPr>
          <w:p w14:paraId="5A3EC543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Transmit power</w:t>
            </w:r>
          </w:p>
        </w:tc>
        <w:tc>
          <w:tcPr>
            <w:tcW w:w="1843" w:type="dxa"/>
          </w:tcPr>
          <w:p w14:paraId="3522807E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 xml:space="preserve">1.76 </w:t>
            </w:r>
          </w:p>
        </w:tc>
        <w:tc>
          <w:tcPr>
            <w:tcW w:w="1837" w:type="dxa"/>
          </w:tcPr>
          <w:p w14:paraId="07A843DC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proofErr w:type="spellStart"/>
            <w:r w:rsidRPr="00F34A72">
              <w:rPr>
                <w:sz w:val="28"/>
                <w:szCs w:val="24"/>
              </w:rPr>
              <w:t>dBW</w:t>
            </w:r>
            <w:proofErr w:type="spellEnd"/>
          </w:p>
        </w:tc>
      </w:tr>
      <w:tr w:rsidR="00AF5274" w14:paraId="7D8EF0CC" w14:textId="77777777" w:rsidTr="00E36889">
        <w:tc>
          <w:tcPr>
            <w:tcW w:w="5382" w:type="dxa"/>
          </w:tcPr>
          <w:p w14:paraId="7A52C41D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Transmitter gain</w:t>
            </w:r>
          </w:p>
        </w:tc>
        <w:tc>
          <w:tcPr>
            <w:tcW w:w="1843" w:type="dxa"/>
          </w:tcPr>
          <w:p w14:paraId="543A83F8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 xml:space="preserve">0 </w:t>
            </w:r>
          </w:p>
        </w:tc>
        <w:tc>
          <w:tcPr>
            <w:tcW w:w="1837" w:type="dxa"/>
          </w:tcPr>
          <w:p w14:paraId="63E5AF9C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proofErr w:type="spellStart"/>
            <w:r w:rsidRPr="00F34A72">
              <w:rPr>
                <w:sz w:val="28"/>
                <w:szCs w:val="24"/>
              </w:rPr>
              <w:t>dBi</w:t>
            </w:r>
            <w:proofErr w:type="spellEnd"/>
          </w:p>
        </w:tc>
      </w:tr>
      <w:tr w:rsidR="00AF5274" w14:paraId="70AF5434" w14:textId="77777777" w:rsidTr="00E36889">
        <w:tc>
          <w:tcPr>
            <w:tcW w:w="5382" w:type="dxa"/>
          </w:tcPr>
          <w:p w14:paraId="6FB8CF59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Transmitter line losses</w:t>
            </w:r>
          </w:p>
        </w:tc>
        <w:tc>
          <w:tcPr>
            <w:tcW w:w="1843" w:type="dxa"/>
          </w:tcPr>
          <w:p w14:paraId="1FF7724F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 xml:space="preserve">-1.93 </w:t>
            </w:r>
          </w:p>
        </w:tc>
        <w:tc>
          <w:tcPr>
            <w:tcW w:w="1837" w:type="dxa"/>
          </w:tcPr>
          <w:p w14:paraId="72E9069B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</w:t>
            </w:r>
          </w:p>
        </w:tc>
      </w:tr>
      <w:tr w:rsidR="00AF5274" w14:paraId="3677C38A" w14:textId="77777777" w:rsidTr="00E36889">
        <w:tc>
          <w:tcPr>
            <w:tcW w:w="5382" w:type="dxa"/>
          </w:tcPr>
          <w:p w14:paraId="113E3E50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Transmitter antenna pointing loss</w:t>
            </w:r>
          </w:p>
        </w:tc>
        <w:tc>
          <w:tcPr>
            <w:tcW w:w="1843" w:type="dxa"/>
          </w:tcPr>
          <w:p w14:paraId="1BE93A70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 xml:space="preserve">-3 </w:t>
            </w:r>
          </w:p>
        </w:tc>
        <w:tc>
          <w:tcPr>
            <w:tcW w:w="1837" w:type="dxa"/>
          </w:tcPr>
          <w:p w14:paraId="5D739714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</w:t>
            </w:r>
          </w:p>
        </w:tc>
      </w:tr>
      <w:tr w:rsidR="00AF5274" w14:paraId="2FD283C1" w14:textId="77777777" w:rsidTr="00E36889">
        <w:tc>
          <w:tcPr>
            <w:tcW w:w="5382" w:type="dxa"/>
            <w:shd w:val="clear" w:color="auto" w:fill="FFD966" w:themeFill="accent4" w:themeFillTint="99"/>
          </w:tcPr>
          <w:p w14:paraId="2B9566D7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EIRP</w:t>
            </w:r>
          </w:p>
        </w:tc>
        <w:tc>
          <w:tcPr>
            <w:tcW w:w="1843" w:type="dxa"/>
          </w:tcPr>
          <w:p w14:paraId="1D971A8D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 xml:space="preserve">-3.17 </w:t>
            </w:r>
          </w:p>
        </w:tc>
        <w:tc>
          <w:tcPr>
            <w:tcW w:w="1837" w:type="dxa"/>
          </w:tcPr>
          <w:p w14:paraId="48E261E6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proofErr w:type="spellStart"/>
            <w:r w:rsidRPr="00F34A72">
              <w:rPr>
                <w:sz w:val="28"/>
                <w:szCs w:val="24"/>
              </w:rPr>
              <w:t>dBW</w:t>
            </w:r>
            <w:proofErr w:type="spellEnd"/>
          </w:p>
        </w:tc>
      </w:tr>
      <w:tr w:rsidR="00AF5274" w14:paraId="60932EB3" w14:textId="77777777" w:rsidTr="00E36889">
        <w:tc>
          <w:tcPr>
            <w:tcW w:w="9062" w:type="dxa"/>
            <w:gridSpan w:val="3"/>
            <w:shd w:val="clear" w:color="auto" w:fill="8EAADB" w:themeFill="accent1" w:themeFillTint="99"/>
          </w:tcPr>
          <w:p w14:paraId="3A155CBA" w14:textId="77777777" w:rsidR="00AF5274" w:rsidRPr="00F34A72" w:rsidRDefault="00AF5274" w:rsidP="00E36889">
            <w:pPr>
              <w:jc w:val="center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Link</w:t>
            </w:r>
          </w:p>
        </w:tc>
      </w:tr>
      <w:tr w:rsidR="00AF5274" w14:paraId="1C0B6A2E" w14:textId="77777777" w:rsidTr="00E36889">
        <w:tc>
          <w:tcPr>
            <w:tcW w:w="5382" w:type="dxa"/>
          </w:tcPr>
          <w:p w14:paraId="09736EC9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Frequency</w:t>
            </w:r>
          </w:p>
        </w:tc>
        <w:tc>
          <w:tcPr>
            <w:tcW w:w="1843" w:type="dxa"/>
          </w:tcPr>
          <w:p w14:paraId="2C6DBBC2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435</w:t>
            </w:r>
          </w:p>
        </w:tc>
        <w:tc>
          <w:tcPr>
            <w:tcW w:w="1837" w:type="dxa"/>
          </w:tcPr>
          <w:p w14:paraId="08C8D7CC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MHz</w:t>
            </w:r>
          </w:p>
        </w:tc>
      </w:tr>
      <w:tr w:rsidR="00AF5274" w14:paraId="57A91242" w14:textId="77777777" w:rsidTr="00E36889">
        <w:tc>
          <w:tcPr>
            <w:tcW w:w="5382" w:type="dxa"/>
          </w:tcPr>
          <w:p w14:paraId="7CF51B9B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Bandwidth</w:t>
            </w:r>
            <w:r>
              <w:rPr>
                <w:sz w:val="28"/>
                <w:szCs w:val="24"/>
              </w:rPr>
              <w:t xml:space="preserve"> (max achievable)</w:t>
            </w:r>
          </w:p>
        </w:tc>
        <w:tc>
          <w:tcPr>
            <w:tcW w:w="1843" w:type="dxa"/>
          </w:tcPr>
          <w:p w14:paraId="623112A7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>58.5</w:t>
            </w:r>
          </w:p>
        </w:tc>
        <w:tc>
          <w:tcPr>
            <w:tcW w:w="1837" w:type="dxa"/>
          </w:tcPr>
          <w:p w14:paraId="0FA56890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kHz</w:t>
            </w:r>
          </w:p>
        </w:tc>
      </w:tr>
      <w:tr w:rsidR="00AF5274" w14:paraId="5FB03BDD" w14:textId="77777777" w:rsidTr="00E36889">
        <w:tc>
          <w:tcPr>
            <w:tcW w:w="5382" w:type="dxa"/>
          </w:tcPr>
          <w:p w14:paraId="0C2E65CA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Path length (409 km altitude, 15° e</w:t>
            </w:r>
            <w:r>
              <w:rPr>
                <w:sz w:val="28"/>
                <w:szCs w:val="24"/>
              </w:rPr>
              <w:t>l</w:t>
            </w:r>
            <w:r w:rsidRPr="00F34A72">
              <w:rPr>
                <w:sz w:val="28"/>
                <w:szCs w:val="24"/>
              </w:rPr>
              <w:t>evation)</w:t>
            </w:r>
          </w:p>
        </w:tc>
        <w:tc>
          <w:tcPr>
            <w:tcW w:w="1843" w:type="dxa"/>
          </w:tcPr>
          <w:p w14:paraId="6B03BADD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1196.622</w:t>
            </w:r>
          </w:p>
        </w:tc>
        <w:tc>
          <w:tcPr>
            <w:tcW w:w="1837" w:type="dxa"/>
          </w:tcPr>
          <w:p w14:paraId="0924B13E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km</w:t>
            </w:r>
          </w:p>
        </w:tc>
      </w:tr>
      <w:tr w:rsidR="00AF5274" w14:paraId="52849929" w14:textId="77777777" w:rsidTr="00E36889">
        <w:tc>
          <w:tcPr>
            <w:tcW w:w="5382" w:type="dxa"/>
          </w:tcPr>
          <w:p w14:paraId="06F56ACD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Free space path loss</w:t>
            </w:r>
          </w:p>
        </w:tc>
        <w:tc>
          <w:tcPr>
            <w:tcW w:w="1843" w:type="dxa"/>
          </w:tcPr>
          <w:p w14:paraId="100EE1F7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-146.777</w:t>
            </w:r>
          </w:p>
        </w:tc>
        <w:tc>
          <w:tcPr>
            <w:tcW w:w="1837" w:type="dxa"/>
          </w:tcPr>
          <w:p w14:paraId="25FF69A5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</w:t>
            </w:r>
          </w:p>
        </w:tc>
      </w:tr>
      <w:tr w:rsidR="00AF5274" w14:paraId="34E49C44" w14:textId="77777777" w:rsidTr="00E36889">
        <w:tc>
          <w:tcPr>
            <w:tcW w:w="5382" w:type="dxa"/>
          </w:tcPr>
          <w:p w14:paraId="43F498E7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Other losses (atmospheric, polarisation, …)</w:t>
            </w:r>
          </w:p>
        </w:tc>
        <w:tc>
          <w:tcPr>
            <w:tcW w:w="1843" w:type="dxa"/>
          </w:tcPr>
          <w:p w14:paraId="199ABC0C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-4.6</w:t>
            </w:r>
          </w:p>
        </w:tc>
        <w:tc>
          <w:tcPr>
            <w:tcW w:w="1837" w:type="dxa"/>
          </w:tcPr>
          <w:p w14:paraId="602CE1F0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</w:t>
            </w:r>
          </w:p>
        </w:tc>
      </w:tr>
      <w:tr w:rsidR="00AF5274" w14:paraId="0C9ED299" w14:textId="77777777" w:rsidTr="00E36889">
        <w:tc>
          <w:tcPr>
            <w:tcW w:w="9062" w:type="dxa"/>
            <w:gridSpan w:val="3"/>
            <w:shd w:val="clear" w:color="auto" w:fill="8EAADB" w:themeFill="accent1" w:themeFillTint="99"/>
          </w:tcPr>
          <w:p w14:paraId="414B9BA5" w14:textId="77777777" w:rsidR="00AF5274" w:rsidRPr="00F34A72" w:rsidRDefault="00AF5274" w:rsidP="00E36889">
            <w:pPr>
              <w:jc w:val="center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Ground Station</w:t>
            </w:r>
          </w:p>
        </w:tc>
      </w:tr>
      <w:tr w:rsidR="00AF5274" w14:paraId="40943447" w14:textId="77777777" w:rsidTr="00E36889">
        <w:tc>
          <w:tcPr>
            <w:tcW w:w="5382" w:type="dxa"/>
            <w:shd w:val="clear" w:color="auto" w:fill="FFD966" w:themeFill="accent4" w:themeFillTint="99"/>
          </w:tcPr>
          <w:p w14:paraId="44020043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RIP</w:t>
            </w:r>
          </w:p>
        </w:tc>
        <w:tc>
          <w:tcPr>
            <w:tcW w:w="1843" w:type="dxa"/>
          </w:tcPr>
          <w:p w14:paraId="1BD0EB86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-154.61</w:t>
            </w:r>
          </w:p>
        </w:tc>
        <w:tc>
          <w:tcPr>
            <w:tcW w:w="1837" w:type="dxa"/>
          </w:tcPr>
          <w:p w14:paraId="38E83DB6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proofErr w:type="spellStart"/>
            <w:r w:rsidRPr="00F34A72">
              <w:rPr>
                <w:sz w:val="28"/>
                <w:szCs w:val="24"/>
              </w:rPr>
              <w:t>dBW</w:t>
            </w:r>
            <w:proofErr w:type="spellEnd"/>
          </w:p>
        </w:tc>
      </w:tr>
      <w:tr w:rsidR="00AF5274" w14:paraId="6E763FDF" w14:textId="77777777" w:rsidTr="00E36889">
        <w:tc>
          <w:tcPr>
            <w:tcW w:w="5382" w:type="dxa"/>
          </w:tcPr>
          <w:p w14:paraId="10A6545F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Receiver gain</w:t>
            </w:r>
          </w:p>
        </w:tc>
        <w:tc>
          <w:tcPr>
            <w:tcW w:w="1843" w:type="dxa"/>
          </w:tcPr>
          <w:p w14:paraId="57FF8C6A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12</w:t>
            </w:r>
          </w:p>
        </w:tc>
        <w:tc>
          <w:tcPr>
            <w:tcW w:w="1837" w:type="dxa"/>
          </w:tcPr>
          <w:p w14:paraId="01BA986D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</w:t>
            </w:r>
          </w:p>
        </w:tc>
      </w:tr>
      <w:tr w:rsidR="00AF5274" w14:paraId="199804A2" w14:textId="77777777" w:rsidTr="00E36889">
        <w:tc>
          <w:tcPr>
            <w:tcW w:w="5382" w:type="dxa"/>
          </w:tcPr>
          <w:p w14:paraId="497D49A5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Receiver line losses</w:t>
            </w:r>
          </w:p>
        </w:tc>
        <w:tc>
          <w:tcPr>
            <w:tcW w:w="1843" w:type="dxa"/>
          </w:tcPr>
          <w:p w14:paraId="667F249E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-2.4</w:t>
            </w:r>
          </w:p>
        </w:tc>
        <w:tc>
          <w:tcPr>
            <w:tcW w:w="1837" w:type="dxa"/>
          </w:tcPr>
          <w:p w14:paraId="36ACADE5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</w:t>
            </w:r>
          </w:p>
        </w:tc>
      </w:tr>
      <w:tr w:rsidR="00AF5274" w14:paraId="29186C0E" w14:textId="77777777" w:rsidTr="00E36889">
        <w:tc>
          <w:tcPr>
            <w:tcW w:w="5382" w:type="dxa"/>
          </w:tcPr>
          <w:p w14:paraId="77F6778A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Receiver system noise temperature</w:t>
            </w:r>
          </w:p>
        </w:tc>
        <w:tc>
          <w:tcPr>
            <w:tcW w:w="1843" w:type="dxa"/>
          </w:tcPr>
          <w:p w14:paraId="4554EE48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249.3</w:t>
            </w:r>
          </w:p>
        </w:tc>
        <w:tc>
          <w:tcPr>
            <w:tcW w:w="1837" w:type="dxa"/>
          </w:tcPr>
          <w:p w14:paraId="66461174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K</w:t>
            </w:r>
          </w:p>
        </w:tc>
      </w:tr>
      <w:tr w:rsidR="00AF5274" w14:paraId="34217EBF" w14:textId="77777777" w:rsidTr="00E36889">
        <w:tc>
          <w:tcPr>
            <w:tcW w:w="5382" w:type="dxa"/>
            <w:shd w:val="clear" w:color="auto" w:fill="FFD966" w:themeFill="accent4" w:themeFillTint="99"/>
          </w:tcPr>
          <w:p w14:paraId="28F6118E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 xml:space="preserve">Receiver sensitivity </w:t>
            </w:r>
          </w:p>
        </w:tc>
        <w:tc>
          <w:tcPr>
            <w:tcW w:w="1843" w:type="dxa"/>
          </w:tcPr>
          <w:p w14:paraId="030C3E78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-11.97</w:t>
            </w:r>
          </w:p>
        </w:tc>
        <w:tc>
          <w:tcPr>
            <w:tcW w:w="1837" w:type="dxa"/>
          </w:tcPr>
          <w:p w14:paraId="07C538D2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dB-K</w:t>
            </w:r>
          </w:p>
        </w:tc>
      </w:tr>
      <w:tr w:rsidR="00AF5274" w14:paraId="5BFFD17D" w14:textId="77777777" w:rsidTr="00E36889">
        <w:tc>
          <w:tcPr>
            <w:tcW w:w="5382" w:type="dxa"/>
          </w:tcPr>
          <w:p w14:paraId="0408478A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Implementation loss</w:t>
            </w:r>
          </w:p>
        </w:tc>
        <w:tc>
          <w:tcPr>
            <w:tcW w:w="1843" w:type="dxa"/>
          </w:tcPr>
          <w:p w14:paraId="4CAD1B69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-2</w:t>
            </w:r>
          </w:p>
        </w:tc>
        <w:tc>
          <w:tcPr>
            <w:tcW w:w="1837" w:type="dxa"/>
          </w:tcPr>
          <w:p w14:paraId="28017C07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</w:t>
            </w:r>
          </w:p>
        </w:tc>
      </w:tr>
      <w:tr w:rsidR="00AF5274" w14:paraId="063D595B" w14:textId="77777777" w:rsidTr="00E36889">
        <w:tc>
          <w:tcPr>
            <w:tcW w:w="5382" w:type="dxa"/>
          </w:tcPr>
          <w:p w14:paraId="0014840D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Received CN0R</w:t>
            </w:r>
          </w:p>
        </w:tc>
        <w:tc>
          <w:tcPr>
            <w:tcW w:w="1843" w:type="dxa"/>
          </w:tcPr>
          <w:p w14:paraId="2E1A9FD2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62.03</w:t>
            </w:r>
          </w:p>
        </w:tc>
        <w:tc>
          <w:tcPr>
            <w:tcW w:w="1837" w:type="dxa"/>
          </w:tcPr>
          <w:p w14:paraId="4E71FE80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</w:t>
            </w:r>
          </w:p>
        </w:tc>
      </w:tr>
      <w:tr w:rsidR="00AF5274" w14:paraId="4FA1F00B" w14:textId="77777777" w:rsidTr="00E36889">
        <w:tc>
          <w:tcPr>
            <w:tcW w:w="5382" w:type="dxa"/>
            <w:shd w:val="clear" w:color="auto" w:fill="FFD966" w:themeFill="accent4" w:themeFillTint="99"/>
          </w:tcPr>
          <w:p w14:paraId="7A99BE43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Received CNR</w:t>
            </w:r>
          </w:p>
        </w:tc>
        <w:tc>
          <w:tcPr>
            <w:tcW w:w="1843" w:type="dxa"/>
          </w:tcPr>
          <w:p w14:paraId="7725181B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12.025</w:t>
            </w:r>
          </w:p>
        </w:tc>
        <w:tc>
          <w:tcPr>
            <w:tcW w:w="1837" w:type="dxa"/>
          </w:tcPr>
          <w:p w14:paraId="651AC91B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</w:t>
            </w:r>
          </w:p>
        </w:tc>
      </w:tr>
      <w:tr w:rsidR="00AF5274" w14:paraId="5DEA3CCA" w14:textId="77777777" w:rsidTr="00E36889">
        <w:tc>
          <w:tcPr>
            <w:tcW w:w="5382" w:type="dxa"/>
          </w:tcPr>
          <w:p w14:paraId="1282AAAB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Required CNR</w:t>
            </w:r>
          </w:p>
        </w:tc>
        <w:tc>
          <w:tcPr>
            <w:tcW w:w="1843" w:type="dxa"/>
          </w:tcPr>
          <w:p w14:paraId="39DA1F57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-10</w:t>
            </w:r>
          </w:p>
        </w:tc>
        <w:tc>
          <w:tcPr>
            <w:tcW w:w="1837" w:type="dxa"/>
          </w:tcPr>
          <w:p w14:paraId="7FF10F70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</w:t>
            </w:r>
          </w:p>
        </w:tc>
      </w:tr>
      <w:tr w:rsidR="00AF5274" w14:paraId="2C041836" w14:textId="77777777" w:rsidTr="00E36889">
        <w:tc>
          <w:tcPr>
            <w:tcW w:w="5382" w:type="dxa"/>
            <w:shd w:val="clear" w:color="auto" w:fill="92D050"/>
          </w:tcPr>
          <w:p w14:paraId="7E2AEA05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Link Margin</w:t>
            </w:r>
          </w:p>
        </w:tc>
        <w:tc>
          <w:tcPr>
            <w:tcW w:w="1843" w:type="dxa"/>
          </w:tcPr>
          <w:p w14:paraId="4F60BD73" w14:textId="77777777" w:rsidR="00AF5274" w:rsidRPr="00F34A72" w:rsidRDefault="00AF5274" w:rsidP="00E36889">
            <w:pPr>
              <w:jc w:val="right"/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2.025</w:t>
            </w:r>
          </w:p>
        </w:tc>
        <w:tc>
          <w:tcPr>
            <w:tcW w:w="1837" w:type="dxa"/>
          </w:tcPr>
          <w:p w14:paraId="4D50B387" w14:textId="77777777" w:rsidR="00AF5274" w:rsidRPr="00F34A72" w:rsidRDefault="00AF5274" w:rsidP="00E36889">
            <w:pPr>
              <w:rPr>
                <w:sz w:val="28"/>
                <w:szCs w:val="24"/>
              </w:rPr>
            </w:pPr>
            <w:r w:rsidRPr="00F34A72">
              <w:rPr>
                <w:sz w:val="28"/>
                <w:szCs w:val="24"/>
              </w:rPr>
              <w:t>dB</w:t>
            </w:r>
          </w:p>
        </w:tc>
      </w:tr>
    </w:tbl>
    <w:p w14:paraId="23E9D08B" w14:textId="77777777" w:rsidR="000C46A3" w:rsidRDefault="000C46A3"/>
    <w:p w14:paraId="0F5DC721" w14:textId="56C76DB2" w:rsidR="00AF5274" w:rsidRDefault="00AF5274">
      <w:r>
        <w:t xml:space="preserve">The given </w:t>
      </w:r>
      <w:r w:rsidRPr="00D62F5B">
        <w:rPr>
          <w:b/>
          <w:bCs/>
        </w:rPr>
        <w:t>transmitter power</w:t>
      </w:r>
      <w:r>
        <w:t xml:space="preserve"> is based on the </w:t>
      </w:r>
      <w:r w:rsidR="00040392">
        <w:t xml:space="preserve">ESA’s FYS! requirements. </w:t>
      </w:r>
      <w:r w:rsidR="00157ED6">
        <w:t>The requirements limit the transmitting power of the satellite’s antenna to 1.5W</w:t>
      </w:r>
      <w:r w:rsidR="00546680">
        <w:t xml:space="preserve">. </w:t>
      </w:r>
      <w:proofErr w:type="spellStart"/>
      <w:r w:rsidR="00546680">
        <w:t>STRATHcube’s</w:t>
      </w:r>
      <w:proofErr w:type="spellEnd"/>
      <w:r w:rsidR="00546680">
        <w:t xml:space="preserve"> </w:t>
      </w:r>
      <w:r w:rsidR="000513CD">
        <w:t>selected</w:t>
      </w:r>
      <w:r w:rsidR="00546680">
        <w:t xml:space="preserve"> antenna </w:t>
      </w:r>
      <w:r w:rsidR="000513CD">
        <w:t xml:space="preserve">for downlink communication, the </w:t>
      </w:r>
      <w:r w:rsidR="000513CD" w:rsidRPr="000513CD">
        <w:t>ISIS deployable</w:t>
      </w:r>
      <w:r w:rsidR="005C5ACC">
        <w:t xml:space="preserve"> antenna, </w:t>
      </w:r>
      <w:r w:rsidR="00546680">
        <w:t xml:space="preserve">has a max power output of 2W. </w:t>
      </w:r>
    </w:p>
    <w:p w14:paraId="2D524BF0" w14:textId="5723DA55" w:rsidR="00355ABF" w:rsidRDefault="00355ABF">
      <w:r>
        <w:t xml:space="preserve">The </w:t>
      </w:r>
      <w:r w:rsidR="00D62F5B" w:rsidRPr="00D62F5B">
        <w:rPr>
          <w:b/>
          <w:bCs/>
        </w:rPr>
        <w:t>transmitter gain</w:t>
      </w:r>
      <w:r w:rsidR="00D62F5B">
        <w:t xml:space="preserve"> is based on the </w:t>
      </w:r>
      <w:r w:rsidR="00762A30">
        <w:t xml:space="preserve">downlink </w:t>
      </w:r>
      <w:r>
        <w:t>antenna specification</w:t>
      </w:r>
      <w:r w:rsidR="00D62F5B">
        <w:t>, which</w:t>
      </w:r>
      <w:r>
        <w:t xml:space="preserve"> </w:t>
      </w:r>
      <w:r w:rsidR="00762A30">
        <w:t xml:space="preserve">specifies the antenna </w:t>
      </w:r>
      <w:r w:rsidR="00D62F5B">
        <w:t xml:space="preserve">as having </w:t>
      </w:r>
      <w:r w:rsidR="00762A30">
        <w:t>0dBi gain.</w:t>
      </w:r>
    </w:p>
    <w:p w14:paraId="0F2905BA" w14:textId="7F7CCC53" w:rsidR="00762A30" w:rsidRDefault="008C2546">
      <w:r>
        <w:t xml:space="preserve">The </w:t>
      </w:r>
      <w:r w:rsidRPr="00D62F5B">
        <w:rPr>
          <w:b/>
          <w:bCs/>
        </w:rPr>
        <w:t>transmitter line losses</w:t>
      </w:r>
      <w:r w:rsidR="002952EE">
        <w:t xml:space="preserve"> number is </w:t>
      </w:r>
      <w:r>
        <w:t xml:space="preserve">an estimate </w:t>
      </w:r>
      <w:r w:rsidR="007B36BF">
        <w:t>on</w:t>
      </w:r>
      <w:r>
        <w:t xml:space="preserve"> the expected losses that will be incurred </w:t>
      </w:r>
      <w:r w:rsidR="004700DC">
        <w:t xml:space="preserve">to the signal while on-board STRATHcube. This can be caused by components such as </w:t>
      </w:r>
      <w:r w:rsidR="00C96B13">
        <w:t xml:space="preserve">connectors, coaxial cables, (possibly) bandpass filters. </w:t>
      </w:r>
      <w:r w:rsidR="00955727" w:rsidRPr="00955727">
        <w:t>AMSAT / IARU Annotated Link Model System</w:t>
      </w:r>
      <w:r w:rsidR="00955727">
        <w:t xml:space="preserve"> was used to find this estimate.</w:t>
      </w:r>
      <w:r w:rsidR="00834A0A">
        <w:t xml:space="preserve"> It is expected that</w:t>
      </w:r>
      <w:r w:rsidR="00FA7239">
        <w:t xml:space="preserve"> </w:t>
      </w:r>
      <w:r w:rsidR="00551860">
        <w:t xml:space="preserve">a </w:t>
      </w:r>
      <w:r w:rsidR="00FA7239">
        <w:t xml:space="preserve">system </w:t>
      </w:r>
      <w:r w:rsidR="00551860">
        <w:t xml:space="preserve">with lower </w:t>
      </w:r>
      <w:r w:rsidR="00FA7239">
        <w:t>losses</w:t>
      </w:r>
      <w:r w:rsidR="00551860">
        <w:t xml:space="preserve"> can be achieved</w:t>
      </w:r>
      <w:r w:rsidR="00FA7239">
        <w:t xml:space="preserve">. </w:t>
      </w:r>
    </w:p>
    <w:p w14:paraId="349178DD" w14:textId="77777777" w:rsidR="00A30035" w:rsidRDefault="00D62F5B">
      <w:r>
        <w:t xml:space="preserve">The </w:t>
      </w:r>
      <w:r w:rsidRPr="00CF55F7">
        <w:rPr>
          <w:b/>
          <w:bCs/>
        </w:rPr>
        <w:t>transmitter antenna pointing loss</w:t>
      </w:r>
      <w:r>
        <w:t xml:space="preserve"> is </w:t>
      </w:r>
      <w:r w:rsidR="00745C1E">
        <w:t xml:space="preserve">an </w:t>
      </w:r>
      <w:r w:rsidR="00CF55F7">
        <w:t>estimate</w:t>
      </w:r>
      <w:r w:rsidR="007B36BF">
        <w:t xml:space="preserve"> on the expected </w:t>
      </w:r>
      <w:r w:rsidR="00745C1E">
        <w:t>loss that will be incurred from potential pointing inaccuracies while downlinking</w:t>
      </w:r>
      <w:r w:rsidR="000634EA">
        <w:t xml:space="preserve">. </w:t>
      </w:r>
      <w:r w:rsidR="00745C1E">
        <w:t xml:space="preserve">This number is based on </w:t>
      </w:r>
      <w:proofErr w:type="spellStart"/>
      <w:r w:rsidR="00B620A0">
        <w:t>A</w:t>
      </w:r>
      <w:r w:rsidR="00B74D72">
        <w:t>cubeSAT’s</w:t>
      </w:r>
      <w:proofErr w:type="spellEnd"/>
      <w:r w:rsidR="00B74D72">
        <w:t xml:space="preserve"> numbers for downlink pointing loss</w:t>
      </w:r>
      <w:r w:rsidR="00E77D13">
        <w:t xml:space="preserve">. They specify it </w:t>
      </w:r>
      <w:r w:rsidR="00AD7D5D">
        <w:t>with two different values in their CDR link budget</w:t>
      </w:r>
      <w:r w:rsidR="002465B0">
        <w:t xml:space="preserve">: </w:t>
      </w:r>
      <w:r w:rsidR="00E77D13">
        <w:t>2 dB</w:t>
      </w:r>
      <w:r w:rsidR="002465B0">
        <w:t xml:space="preserve"> and </w:t>
      </w:r>
      <w:r w:rsidR="00E77D13">
        <w:t xml:space="preserve">3.44 </w:t>
      </w:r>
      <w:proofErr w:type="spellStart"/>
      <w:r w:rsidR="00E77D13">
        <w:t>dB.</w:t>
      </w:r>
      <w:proofErr w:type="spellEnd"/>
      <w:r w:rsidR="002465B0">
        <w:t xml:space="preserve"> To derive an estimate for STRATHcube an analysis on the downlink antennas </w:t>
      </w:r>
      <w:r w:rsidR="00776937">
        <w:t>directivity and radiation pattern</w:t>
      </w:r>
      <w:r w:rsidR="002E3E5F">
        <w:t xml:space="preserve"> would need to be performed, as well as </w:t>
      </w:r>
      <w:r w:rsidR="00A30035">
        <w:t xml:space="preserve">an ADCS analysis of the </w:t>
      </w:r>
      <w:proofErr w:type="spellStart"/>
      <w:r w:rsidR="00A30035">
        <w:t>STRATHcube’s</w:t>
      </w:r>
      <w:proofErr w:type="spellEnd"/>
      <w:r w:rsidR="00A30035">
        <w:t xml:space="preserve"> pointing accuracy when downlinking.</w:t>
      </w:r>
    </w:p>
    <w:p w14:paraId="219B5012" w14:textId="0E3FB7F8" w:rsidR="000634EA" w:rsidRDefault="00A30035">
      <w:proofErr w:type="spellStart"/>
      <w:r>
        <w:lastRenderedPageBreak/>
        <w:t>AcubeSAT</w:t>
      </w:r>
      <w:proofErr w:type="spellEnd"/>
      <w:r>
        <w:t xml:space="preserve"> </w:t>
      </w:r>
      <w:r w:rsidR="00680574">
        <w:t xml:space="preserve">CDR link budget: </w:t>
      </w:r>
      <w:hyperlink r:id="rId4" w:history="1">
        <w:r w:rsidR="000634EA" w:rsidRPr="00AF2DF0">
          <w:rPr>
            <w:rStyle w:val="Hyperlink"/>
          </w:rPr>
          <w:t>https://gitlab.com/acubesat/documentation/cdr-public/-/blob/master/DDJF/DDJF_LINK_ARPT.pdf?ref_type=heads</w:t>
        </w:r>
      </w:hyperlink>
      <w:r w:rsidR="000634EA">
        <w:t xml:space="preserve"> </w:t>
      </w:r>
    </w:p>
    <w:p w14:paraId="4B192591" w14:textId="69162169" w:rsidR="001A6E21" w:rsidRDefault="00BB0E29">
      <w:r w:rsidRPr="00BB0E29">
        <w:t xml:space="preserve">Effective </w:t>
      </w:r>
      <w:r w:rsidR="003F6277">
        <w:t>I</w:t>
      </w:r>
      <w:r w:rsidR="003F6277" w:rsidRPr="003F6277">
        <w:t xml:space="preserve">sotropic </w:t>
      </w:r>
      <w:r w:rsidR="003F6277">
        <w:t>R</w:t>
      </w:r>
      <w:r w:rsidR="003F6277" w:rsidRPr="003F6277">
        <w:t xml:space="preserve">adiated </w:t>
      </w:r>
      <w:r w:rsidR="003F6277">
        <w:t>P</w:t>
      </w:r>
      <w:r w:rsidR="003F6277" w:rsidRPr="003F6277">
        <w:t>ower</w:t>
      </w:r>
      <w:r w:rsidR="003F6277" w:rsidRPr="003F6277">
        <w:t xml:space="preserve"> </w:t>
      </w:r>
      <w:r w:rsidR="003F6277">
        <w:t>(</w:t>
      </w:r>
      <w:r w:rsidR="003F6277" w:rsidRPr="00CB2369">
        <w:rPr>
          <w:b/>
          <w:bCs/>
        </w:rPr>
        <w:t>EIRP</w:t>
      </w:r>
      <w:r w:rsidR="003F6277">
        <w:t>)</w:t>
      </w:r>
      <w:r w:rsidR="00CB2369">
        <w:t xml:space="preserve"> is a critical measure of </w:t>
      </w:r>
      <w:r w:rsidR="001B2B6F">
        <w:t>performance of an RF system. It represents an estimate of the maximum radiated power of the transmitter antenna</w:t>
      </w:r>
      <w:r w:rsidR="008A22F9">
        <w:t xml:space="preserve"> in its pointing direction</w:t>
      </w:r>
      <w:r w:rsidR="001B2B6F">
        <w:t>.</w:t>
      </w:r>
      <w:r w:rsidR="00960211">
        <w:t xml:space="preserve"> </w:t>
      </w:r>
      <w:r w:rsidR="00D02F5B">
        <w:t xml:space="preserve">The number found in the link budget above included the transmitter antenna pointing loss, after reviewing </w:t>
      </w:r>
      <w:r w:rsidR="00173340">
        <w:t xml:space="preserve">resources, this shouldn’t have been included in the EIRP calculation. This doesn’t affect any of the </w:t>
      </w:r>
      <w:r w:rsidR="00A14131">
        <w:t xml:space="preserve">other calculations. The corrected EIRP </w:t>
      </w:r>
      <w:r w:rsidR="007611B5">
        <w:t>can be found below.</w:t>
      </w:r>
    </w:p>
    <w:p w14:paraId="1B88F1A0" w14:textId="4689FE03" w:rsidR="008A22F9" w:rsidRPr="007611B5" w:rsidRDefault="008A22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EIRP=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=1.76</m:t>
          </m:r>
          <m:r>
            <w:rPr>
              <w:rFonts w:ascii="Cambria Math" w:hAnsi="Cambria Math"/>
            </w:rPr>
            <m:t>+0</m:t>
          </m:r>
          <m:r>
            <w:rPr>
              <w:rFonts w:ascii="Cambria Math" w:hAnsi="Cambria Math"/>
            </w:rPr>
            <m:t>-1.93</m:t>
          </m:r>
          <m:r>
            <w:rPr>
              <w:rFonts w:ascii="Cambria Math" w:hAnsi="Cambria Math"/>
            </w:rPr>
            <m:t xml:space="preserve"> dB=-0.17 dB</m:t>
          </m:r>
        </m:oMath>
      </m:oMathPara>
    </w:p>
    <w:p w14:paraId="40CCCE55" w14:textId="611C0859" w:rsidR="0058016C" w:rsidRDefault="0058016C">
      <w:proofErr w:type="spellStart"/>
      <w:r>
        <w:t>STRATHcube’s</w:t>
      </w:r>
      <w:proofErr w:type="spellEnd"/>
      <w:r>
        <w:t xml:space="preserve"> downlink will be using the </w:t>
      </w:r>
      <w:r w:rsidRPr="00312E43">
        <w:rPr>
          <w:b/>
          <w:bCs/>
        </w:rPr>
        <w:t>frequency</w:t>
      </w:r>
      <w:r>
        <w:t xml:space="preserve"> </w:t>
      </w:r>
      <w:r w:rsidR="00312E43">
        <w:t xml:space="preserve">435 </w:t>
      </w:r>
      <w:proofErr w:type="spellStart"/>
      <w:r w:rsidR="00312E43">
        <w:t>MHz.</w:t>
      </w:r>
      <w:proofErr w:type="spellEnd"/>
    </w:p>
    <w:p w14:paraId="301E1DC8" w14:textId="5863111A" w:rsidR="007611B5" w:rsidRDefault="0058016C">
      <w:r>
        <w:t xml:space="preserve">The </w:t>
      </w:r>
      <w:r w:rsidR="000B458C">
        <w:t xml:space="preserve">maximum </w:t>
      </w:r>
      <w:r w:rsidRPr="000B458C">
        <w:rPr>
          <w:b/>
          <w:bCs/>
        </w:rPr>
        <w:t>bandwidth</w:t>
      </w:r>
      <w:r>
        <w:t xml:space="preserve"> </w:t>
      </w:r>
      <w:r w:rsidR="00B74428">
        <w:t xml:space="preserve">is </w:t>
      </w:r>
      <w:r w:rsidR="007355B4">
        <w:t xml:space="preserve">the highest bandwidth the link </w:t>
      </w:r>
      <w:r w:rsidR="00C579DF">
        <w:t xml:space="preserve">can achieve given the conditions given in the link budget table. These conditions are based on </w:t>
      </w:r>
      <w:r w:rsidR="00C754B6">
        <w:t xml:space="preserve">the </w:t>
      </w:r>
      <w:r w:rsidR="00C579DF">
        <w:t>worst-case scenario</w:t>
      </w:r>
      <w:r w:rsidR="00C754B6">
        <w:t>, i.e. longest distance from ground station, low elevation angle, and high path losses incurred.</w:t>
      </w:r>
      <w:r w:rsidR="00C579DF">
        <w:t xml:space="preserve"> </w:t>
      </w:r>
      <w:r w:rsidR="00C754B6">
        <w:t>The number is</w:t>
      </w:r>
      <w:r w:rsidR="00C579DF">
        <w:t xml:space="preserve"> </w:t>
      </w:r>
      <w:r w:rsidR="00B74428">
        <w:t xml:space="preserve">based on the </w:t>
      </w:r>
      <w:r w:rsidR="000B458C">
        <w:t xml:space="preserve">achieved performance of the link, i.e. the </w:t>
      </w:r>
      <w:r w:rsidR="00126A3A">
        <w:t>carrier</w:t>
      </w:r>
      <w:r w:rsidR="000B458C">
        <w:t>-to</w:t>
      </w:r>
      <w:r w:rsidR="00200BCE">
        <w:t>-</w:t>
      </w:r>
      <w:r w:rsidR="000B458C">
        <w:t>noise</w:t>
      </w:r>
      <w:r w:rsidR="00EB6A44">
        <w:t>-density</w:t>
      </w:r>
      <w:r w:rsidR="000B458C">
        <w:t>-ratio (CN</w:t>
      </w:r>
      <w:r w:rsidR="00200BCE">
        <w:t>0</w:t>
      </w:r>
      <w:r w:rsidR="000B458C">
        <w:t xml:space="preserve">R). </w:t>
      </w:r>
      <w:r w:rsidR="00C579DF">
        <w:t>The formula for calculating the bandwidth is given below.</w:t>
      </w:r>
    </w:p>
    <w:p w14:paraId="6A77B6B8" w14:textId="5F31D817" w:rsidR="000B458C" w:rsidRPr="00C754B6" w:rsidRDefault="000B45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CN0R-</m:t>
                      </m:r>
                      <m:r>
                        <w:rPr>
                          <w:rFonts w:ascii="Cambria Math" w:eastAsiaTheme="minorEastAsia" w:hAnsi="Cambria Math"/>
                        </w:rPr>
                        <m:t>CN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margin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Hz</m:t>
          </m:r>
        </m:oMath>
      </m:oMathPara>
    </w:p>
    <w:p w14:paraId="0EECBED2" w14:textId="79847B55" w:rsidR="00C754B6" w:rsidRDefault="00C754B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C754B6">
        <w:rPr>
          <w:rFonts w:eastAsiaTheme="minorEastAsia"/>
          <w:b/>
          <w:bCs/>
        </w:rPr>
        <w:t>path length</w:t>
      </w:r>
      <w:r>
        <w:rPr>
          <w:rFonts w:eastAsiaTheme="minorEastAsia"/>
        </w:rPr>
        <w:t xml:space="preserve"> is the slant range from the </w:t>
      </w:r>
      <w:r w:rsidR="001B202F">
        <w:rPr>
          <w:rFonts w:eastAsiaTheme="minorEastAsia"/>
        </w:rPr>
        <w:t>409 km of altitude (the altitude where STRATHcube deploy</w:t>
      </w:r>
      <w:r w:rsidR="000E5E7B">
        <w:rPr>
          <w:rFonts w:eastAsiaTheme="minorEastAsia"/>
        </w:rPr>
        <w:t>s</w:t>
      </w:r>
      <w:r w:rsidR="001B202F">
        <w:rPr>
          <w:rFonts w:eastAsiaTheme="minorEastAsia"/>
        </w:rPr>
        <w:t xml:space="preserve">) </w:t>
      </w:r>
      <w:r w:rsidR="00DC1EF3">
        <w:rPr>
          <w:rFonts w:eastAsiaTheme="minorEastAsia"/>
        </w:rPr>
        <w:t xml:space="preserve">to the James Weir </w:t>
      </w:r>
      <w:r w:rsidR="00A3339A">
        <w:rPr>
          <w:rFonts w:eastAsiaTheme="minorEastAsia"/>
        </w:rPr>
        <w:t>G</w:t>
      </w:r>
      <w:r w:rsidR="00DC1EF3">
        <w:rPr>
          <w:rFonts w:eastAsiaTheme="minorEastAsia"/>
        </w:rPr>
        <w:t xml:space="preserve">round </w:t>
      </w:r>
      <w:r w:rsidR="00A3339A">
        <w:rPr>
          <w:rFonts w:eastAsiaTheme="minorEastAsia"/>
        </w:rPr>
        <w:t>S</w:t>
      </w:r>
      <w:r w:rsidR="00DC1EF3">
        <w:rPr>
          <w:rFonts w:eastAsiaTheme="minorEastAsia"/>
        </w:rPr>
        <w:t xml:space="preserve">tation </w:t>
      </w:r>
      <w:r w:rsidR="00A3339A">
        <w:rPr>
          <w:rFonts w:eastAsiaTheme="minorEastAsia"/>
        </w:rPr>
        <w:t xml:space="preserve">(JWGS) </w:t>
      </w:r>
      <w:r w:rsidR="00DC1EF3">
        <w:rPr>
          <w:rFonts w:eastAsiaTheme="minorEastAsia"/>
        </w:rPr>
        <w:t xml:space="preserve">at 41 m of altitude with a </w:t>
      </w:r>
      <w:r w:rsidR="005F4952">
        <w:rPr>
          <w:rFonts w:eastAsiaTheme="minorEastAsia"/>
        </w:rPr>
        <w:t>15-degree</w:t>
      </w:r>
      <w:r w:rsidR="006D4DE2">
        <w:rPr>
          <w:rFonts w:eastAsiaTheme="minorEastAsia"/>
        </w:rPr>
        <w:t xml:space="preserve"> elevation angle</w:t>
      </w:r>
      <w:r w:rsidR="005423C6">
        <w:rPr>
          <w:rFonts w:eastAsiaTheme="minorEastAsia"/>
        </w:rPr>
        <w:t xml:space="preserve"> between them</w:t>
      </w:r>
      <w:r w:rsidR="006D4DE2">
        <w:rPr>
          <w:rFonts w:eastAsiaTheme="minorEastAsia"/>
        </w:rPr>
        <w:t xml:space="preserve"> (the minimum expected angle to establish a reliable link).</w:t>
      </w:r>
    </w:p>
    <w:p w14:paraId="74339FB3" w14:textId="689711C3" w:rsidR="005F4952" w:rsidRDefault="005F4952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F7666F">
        <w:rPr>
          <w:rFonts w:eastAsiaTheme="minorEastAsia"/>
          <w:b/>
          <w:bCs/>
        </w:rPr>
        <w:t>free-space path loss</w:t>
      </w:r>
      <w:r>
        <w:rPr>
          <w:rFonts w:eastAsiaTheme="minorEastAsia"/>
        </w:rPr>
        <w:t xml:space="preserve"> is the loss </w:t>
      </w:r>
      <w:r w:rsidR="00C01197">
        <w:rPr>
          <w:rFonts w:eastAsiaTheme="minorEastAsia"/>
        </w:rPr>
        <w:t xml:space="preserve">that is incurred to the signal power due to </w:t>
      </w:r>
      <w:r w:rsidR="002C53F4">
        <w:rPr>
          <w:rFonts w:eastAsiaTheme="minorEastAsia"/>
        </w:rPr>
        <w:t xml:space="preserve">distance. </w:t>
      </w:r>
      <w:r w:rsidR="00F662D9">
        <w:rPr>
          <w:rFonts w:eastAsiaTheme="minorEastAsia"/>
        </w:rPr>
        <w:t>It is calculated given the formula below.</w:t>
      </w:r>
    </w:p>
    <w:p w14:paraId="1315C4E5" w14:textId="606D2DEB" w:rsidR="00F662D9" w:rsidRPr="00F7666F" w:rsidRDefault="00C61D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FSPL=20∙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4π∙distance∙freq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  (dB)</m:t>
          </m:r>
        </m:oMath>
      </m:oMathPara>
    </w:p>
    <w:p w14:paraId="262EACE8" w14:textId="1B9A8C16" w:rsidR="0071708D" w:rsidRDefault="0004182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F457E3">
        <w:rPr>
          <w:rFonts w:eastAsiaTheme="minorEastAsia"/>
          <w:b/>
          <w:bCs/>
        </w:rPr>
        <w:t>other loss</w:t>
      </w:r>
      <w:r w:rsidR="0071708D" w:rsidRPr="00F457E3">
        <w:rPr>
          <w:rFonts w:eastAsiaTheme="minorEastAsia"/>
          <w:b/>
          <w:bCs/>
        </w:rPr>
        <w:t>es</w:t>
      </w:r>
      <w:r w:rsidR="00800CB5">
        <w:rPr>
          <w:rFonts w:eastAsiaTheme="minorEastAsia"/>
        </w:rPr>
        <w:t xml:space="preserve"> are path losses incurred from the atmosphere</w:t>
      </w:r>
      <w:r w:rsidR="00B50C06">
        <w:rPr>
          <w:rFonts w:eastAsiaTheme="minorEastAsia"/>
        </w:rPr>
        <w:t xml:space="preserve"> (1.1dB)</w:t>
      </w:r>
      <w:r w:rsidR="00800CB5">
        <w:rPr>
          <w:rFonts w:eastAsiaTheme="minorEastAsia"/>
        </w:rPr>
        <w:t xml:space="preserve">, </w:t>
      </w:r>
      <w:r w:rsidR="00E34F24">
        <w:rPr>
          <w:rFonts w:eastAsiaTheme="minorEastAsia"/>
        </w:rPr>
        <w:t>ionosphere</w:t>
      </w:r>
      <w:r w:rsidR="00B50C06">
        <w:rPr>
          <w:rFonts w:eastAsiaTheme="minorEastAsia"/>
        </w:rPr>
        <w:t xml:space="preserve"> (0.4dB)</w:t>
      </w:r>
      <w:r w:rsidR="00800CB5">
        <w:rPr>
          <w:rFonts w:eastAsiaTheme="minorEastAsia"/>
        </w:rPr>
        <w:t>, scintillation</w:t>
      </w:r>
      <w:r w:rsidR="00B50C06">
        <w:rPr>
          <w:rFonts w:eastAsiaTheme="minorEastAsia"/>
        </w:rPr>
        <w:t xml:space="preserve"> (0.16dB)</w:t>
      </w:r>
      <w:r w:rsidR="00800CB5">
        <w:rPr>
          <w:rFonts w:eastAsiaTheme="minorEastAsia"/>
        </w:rPr>
        <w:t xml:space="preserve">, </w:t>
      </w:r>
      <w:r w:rsidR="00084455">
        <w:rPr>
          <w:rFonts w:eastAsiaTheme="minorEastAsia"/>
        </w:rPr>
        <w:t>etc</w:t>
      </w:r>
      <w:r w:rsidR="00800CB5">
        <w:rPr>
          <w:rFonts w:eastAsiaTheme="minorEastAsia"/>
        </w:rPr>
        <w:t xml:space="preserve">. these have been estimated using the </w:t>
      </w:r>
      <w:r w:rsidR="00800CB5" w:rsidRPr="00955727">
        <w:t>AMSAT / IARU Annotated Link Model System</w:t>
      </w:r>
      <w:r w:rsidR="00800CB5">
        <w:t xml:space="preserve"> and numbers from ITU. </w:t>
      </w:r>
      <w:r w:rsidR="0071708D">
        <w:rPr>
          <w:rFonts w:eastAsiaTheme="minorEastAsia"/>
        </w:rPr>
        <w:t xml:space="preserve">The polarisation mismatch between a horizontally aligned antenna and a circularly aligned antenna </w:t>
      </w:r>
      <w:r w:rsidR="00506F2E">
        <w:rPr>
          <w:rFonts w:eastAsiaTheme="minorEastAsia"/>
        </w:rPr>
        <w:t>results</w:t>
      </w:r>
      <w:r w:rsidR="0071708D">
        <w:rPr>
          <w:rFonts w:eastAsiaTheme="minorEastAsia"/>
        </w:rPr>
        <w:t xml:space="preserve"> in a loss of -3dB</w:t>
      </w:r>
      <w:r w:rsidR="00506F2E">
        <w:rPr>
          <w:rFonts w:eastAsiaTheme="minorEastAsia"/>
        </w:rPr>
        <w:t xml:space="preserve">, as the polarisation </w:t>
      </w:r>
      <w:r w:rsidR="00A3339A">
        <w:rPr>
          <w:rFonts w:eastAsiaTheme="minorEastAsia"/>
        </w:rPr>
        <w:t xml:space="preserve">configuration of the downlink antenna </w:t>
      </w:r>
      <w:r w:rsidR="000944F2">
        <w:rPr>
          <w:rFonts w:eastAsiaTheme="minorEastAsia"/>
        </w:rPr>
        <w:t xml:space="preserve">and JWGS </w:t>
      </w:r>
      <w:r w:rsidR="00A3339A">
        <w:rPr>
          <w:rFonts w:eastAsiaTheme="minorEastAsia"/>
        </w:rPr>
        <w:t>is u</w:t>
      </w:r>
      <w:r w:rsidR="000944F2">
        <w:rPr>
          <w:rFonts w:eastAsiaTheme="minorEastAsia"/>
        </w:rPr>
        <w:t>n</w:t>
      </w:r>
      <w:r w:rsidR="00A3339A">
        <w:rPr>
          <w:rFonts w:eastAsiaTheme="minorEastAsia"/>
        </w:rPr>
        <w:t>k</w:t>
      </w:r>
      <w:r w:rsidR="000944F2">
        <w:rPr>
          <w:rFonts w:eastAsiaTheme="minorEastAsia"/>
        </w:rPr>
        <w:t>nown, this has been included to account for a worst-case scenario.</w:t>
      </w:r>
    </w:p>
    <w:p w14:paraId="47092E1A" w14:textId="45A97DB3" w:rsidR="009A7FBB" w:rsidRDefault="009A7FBB">
      <w:pPr>
        <w:rPr>
          <w:rFonts w:eastAsiaTheme="minorEastAsia"/>
        </w:rPr>
      </w:pPr>
      <w:r>
        <w:rPr>
          <w:rFonts w:eastAsiaTheme="minorEastAsia"/>
        </w:rPr>
        <w:t>Received Isotropic Power (</w:t>
      </w:r>
      <w:r w:rsidRPr="009A7FBB">
        <w:rPr>
          <w:rFonts w:eastAsiaTheme="minorEastAsia"/>
          <w:b/>
          <w:bCs/>
        </w:rPr>
        <w:t>RIP</w:t>
      </w:r>
      <w:r>
        <w:rPr>
          <w:rFonts w:eastAsiaTheme="minorEastAsia"/>
        </w:rPr>
        <w:t xml:space="preserve">) is a measure of the </w:t>
      </w:r>
      <w:r w:rsidR="00222C49">
        <w:rPr>
          <w:rFonts w:eastAsiaTheme="minorEastAsia"/>
        </w:rPr>
        <w:t>transmitted signals power when it is received by the GS. It is given by the formula below.</w:t>
      </w:r>
    </w:p>
    <w:p w14:paraId="43C1D750" w14:textId="79056E80" w:rsidR="00222C49" w:rsidRPr="00FC7096" w:rsidRDefault="00222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RIP=EIRP-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PL-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path</m:t>
              </m:r>
            </m:sub>
          </m:sSub>
          <m:r>
            <w:rPr>
              <w:rFonts w:ascii="Cambria Math" w:hAnsi="Cambria Math"/>
            </w:rPr>
            <m:t xml:space="preserve">   (dB)</m:t>
          </m:r>
        </m:oMath>
      </m:oMathPara>
    </w:p>
    <w:p w14:paraId="60CD99BF" w14:textId="795102E1" w:rsidR="000403A7" w:rsidRDefault="000403A7">
      <w:pPr>
        <w:rPr>
          <w:rFonts w:eastAsiaTheme="minorEastAsia"/>
        </w:rPr>
      </w:pPr>
      <w:r>
        <w:rPr>
          <w:rFonts w:eastAsiaTheme="minorEastAsia"/>
        </w:rPr>
        <w:t>As JWGS is currently out-of-operation</w:t>
      </w:r>
      <w:r w:rsidR="00E26F74">
        <w:rPr>
          <w:rFonts w:eastAsiaTheme="minorEastAsia"/>
        </w:rPr>
        <w:t xml:space="preserve">, a GS with </w:t>
      </w:r>
      <w:r w:rsidR="0056168A">
        <w:rPr>
          <w:rFonts w:eastAsiaTheme="minorEastAsia"/>
        </w:rPr>
        <w:t xml:space="preserve">performance measures expected to be </w:t>
      </w:r>
      <w:proofErr w:type="gramStart"/>
      <w:r w:rsidR="0056168A">
        <w:rPr>
          <w:rFonts w:eastAsiaTheme="minorEastAsia"/>
        </w:rPr>
        <w:t>similar to</w:t>
      </w:r>
      <w:proofErr w:type="gramEnd"/>
      <w:r w:rsidR="0056168A">
        <w:rPr>
          <w:rFonts w:eastAsiaTheme="minorEastAsia"/>
        </w:rPr>
        <w:t xml:space="preserve"> what a potential “renovation” to JWGS could offer, was found</w:t>
      </w:r>
      <w:r w:rsidR="00800142">
        <w:rPr>
          <w:rFonts w:eastAsiaTheme="minorEastAsia"/>
        </w:rPr>
        <w:t xml:space="preserve"> to </w:t>
      </w:r>
      <w:r w:rsidR="00685576">
        <w:rPr>
          <w:rFonts w:eastAsiaTheme="minorEastAsia"/>
        </w:rPr>
        <w:t>derive</w:t>
      </w:r>
      <w:r w:rsidR="00800142">
        <w:rPr>
          <w:rFonts w:eastAsiaTheme="minorEastAsia"/>
        </w:rPr>
        <w:t xml:space="preserve"> a representative link budget</w:t>
      </w:r>
      <w:r w:rsidR="0056168A">
        <w:rPr>
          <w:rFonts w:eastAsiaTheme="minorEastAsia"/>
        </w:rPr>
        <w:t xml:space="preserve">. </w:t>
      </w:r>
      <w:proofErr w:type="spellStart"/>
      <w:r w:rsidR="00E54FC1">
        <w:rPr>
          <w:rFonts w:eastAsiaTheme="minorEastAsia"/>
        </w:rPr>
        <w:t>AcubeSAT’s</w:t>
      </w:r>
      <w:proofErr w:type="spellEnd"/>
      <w:r w:rsidR="00E54FC1">
        <w:rPr>
          <w:rFonts w:eastAsiaTheme="minorEastAsia"/>
        </w:rPr>
        <w:t xml:space="preserve"> GS was </w:t>
      </w:r>
      <w:r w:rsidR="00332846">
        <w:rPr>
          <w:rFonts w:eastAsiaTheme="minorEastAsia"/>
        </w:rPr>
        <w:t xml:space="preserve">the selected GS </w:t>
      </w:r>
      <w:r w:rsidR="00E54FC1">
        <w:rPr>
          <w:rFonts w:eastAsiaTheme="minorEastAsia"/>
        </w:rPr>
        <w:t>used as reference</w:t>
      </w:r>
      <w:r w:rsidR="00332846">
        <w:rPr>
          <w:rFonts w:eastAsiaTheme="minorEastAsia"/>
        </w:rPr>
        <w:t>. The performance measure of their GS</w:t>
      </w:r>
      <w:r w:rsidR="00B95DA0">
        <w:rPr>
          <w:rFonts w:eastAsiaTheme="minorEastAsia"/>
        </w:rPr>
        <w:t xml:space="preserve"> for numbers such as </w:t>
      </w:r>
      <w:r w:rsidR="00B95DA0" w:rsidRPr="00932EC4">
        <w:rPr>
          <w:rFonts w:eastAsiaTheme="minorEastAsia"/>
          <w:b/>
          <w:bCs/>
        </w:rPr>
        <w:t>receiver gain</w:t>
      </w:r>
      <w:r w:rsidR="002F536A" w:rsidRPr="00932EC4">
        <w:rPr>
          <w:rFonts w:eastAsiaTheme="minorEastAsia"/>
          <w:b/>
          <w:bCs/>
        </w:rPr>
        <w:t xml:space="preserve">, </w:t>
      </w:r>
      <w:r w:rsidR="00B95DA0" w:rsidRPr="00932EC4">
        <w:rPr>
          <w:rFonts w:eastAsiaTheme="minorEastAsia"/>
          <w:b/>
          <w:bCs/>
        </w:rPr>
        <w:t>line losses</w:t>
      </w:r>
      <w:r w:rsidR="00332846" w:rsidRPr="00932EC4">
        <w:rPr>
          <w:rFonts w:eastAsiaTheme="minorEastAsia"/>
          <w:b/>
          <w:bCs/>
        </w:rPr>
        <w:t xml:space="preserve"> </w:t>
      </w:r>
      <w:r w:rsidR="002F536A" w:rsidRPr="00932EC4">
        <w:rPr>
          <w:rFonts w:eastAsiaTheme="minorEastAsia"/>
        </w:rPr>
        <w:t>and</w:t>
      </w:r>
      <w:r w:rsidR="002F536A" w:rsidRPr="00932EC4">
        <w:rPr>
          <w:rFonts w:eastAsiaTheme="minorEastAsia"/>
          <w:b/>
          <w:bCs/>
        </w:rPr>
        <w:t xml:space="preserve"> system noise temperature</w:t>
      </w:r>
      <w:r w:rsidR="002F536A">
        <w:rPr>
          <w:rFonts w:eastAsiaTheme="minorEastAsia"/>
        </w:rPr>
        <w:t xml:space="preserve"> </w:t>
      </w:r>
      <w:r w:rsidR="00332846">
        <w:rPr>
          <w:rFonts w:eastAsiaTheme="minorEastAsia"/>
        </w:rPr>
        <w:t xml:space="preserve">can be found in their </w:t>
      </w:r>
      <w:r w:rsidR="00631605">
        <w:rPr>
          <w:rFonts w:eastAsiaTheme="minorEastAsia"/>
        </w:rPr>
        <w:t xml:space="preserve">GS and link budget </w:t>
      </w:r>
      <w:r w:rsidR="00332846">
        <w:rPr>
          <w:rFonts w:eastAsiaTheme="minorEastAsia"/>
        </w:rPr>
        <w:t>CDR report</w:t>
      </w:r>
      <w:r w:rsidR="00631605">
        <w:rPr>
          <w:rFonts w:eastAsiaTheme="minorEastAsia"/>
        </w:rPr>
        <w:t>s</w:t>
      </w:r>
      <w:r w:rsidR="00B95DA0">
        <w:rPr>
          <w:rFonts w:eastAsiaTheme="minorEastAsia"/>
        </w:rPr>
        <w:t xml:space="preserve"> linked below</w:t>
      </w:r>
      <w:r w:rsidR="00E54FC1">
        <w:rPr>
          <w:rFonts w:eastAsiaTheme="minorEastAsia"/>
        </w:rPr>
        <w:t xml:space="preserve"> </w:t>
      </w:r>
    </w:p>
    <w:p w14:paraId="22AFC4F9" w14:textId="3A8AB282" w:rsidR="00FC7096" w:rsidRPr="007355B4" w:rsidRDefault="000403A7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AcubeSAT</w:t>
      </w:r>
      <w:proofErr w:type="spellEnd"/>
      <w:r w:rsidR="00631605">
        <w:rPr>
          <w:rFonts w:eastAsiaTheme="minorEastAsia"/>
        </w:rPr>
        <w:t xml:space="preserve"> CDR GS</w:t>
      </w:r>
      <w:r>
        <w:rPr>
          <w:rFonts w:eastAsiaTheme="minorEastAsia"/>
        </w:rPr>
        <w:t xml:space="preserve">: </w:t>
      </w:r>
      <w:hyperlink r:id="rId5" w:history="1">
        <w:r w:rsidRPr="00AF2DF0">
          <w:rPr>
            <w:rStyle w:val="Hyperlink"/>
            <w:rFonts w:eastAsiaTheme="minorEastAsia"/>
          </w:rPr>
          <w:t>https://gitlab.com/acubesat/documentation/cdr-public/-/blob/master/DDJF/DDJF_GS.pdf?ref_type=heads</w:t>
        </w:r>
      </w:hyperlink>
      <w:r>
        <w:rPr>
          <w:rFonts w:eastAsiaTheme="minorEastAsia"/>
        </w:rPr>
        <w:t xml:space="preserve"> </w:t>
      </w:r>
    </w:p>
    <w:p w14:paraId="00AF111A" w14:textId="77777777" w:rsidR="00631605" w:rsidRDefault="00631605" w:rsidP="00631605">
      <w:proofErr w:type="spellStart"/>
      <w:r>
        <w:t>AcubeSAT</w:t>
      </w:r>
      <w:proofErr w:type="spellEnd"/>
      <w:r>
        <w:t xml:space="preserve"> CDR link budget: </w:t>
      </w:r>
      <w:hyperlink r:id="rId6" w:history="1">
        <w:r w:rsidRPr="00AF2DF0">
          <w:rPr>
            <w:rStyle w:val="Hyperlink"/>
          </w:rPr>
          <w:t>https://gitlab.com/acubesat/documentation/cdr-public/-/blob/master/DDJF/DDJF_LINK_ARPT.pdf?ref_type=heads</w:t>
        </w:r>
      </w:hyperlink>
      <w:r>
        <w:t xml:space="preserve"> </w:t>
      </w:r>
    </w:p>
    <w:p w14:paraId="63436FDA" w14:textId="327D8121" w:rsidR="007355B4" w:rsidRDefault="000226CE">
      <w:r w:rsidRPr="00932EC4">
        <w:rPr>
          <w:b/>
          <w:bCs/>
        </w:rPr>
        <w:t xml:space="preserve">Receiver </w:t>
      </w:r>
      <w:r w:rsidR="00D9764E" w:rsidRPr="00932EC4">
        <w:rPr>
          <w:b/>
          <w:bCs/>
        </w:rPr>
        <w:t>sensitivity</w:t>
      </w:r>
      <w:r w:rsidR="00D9764E">
        <w:t xml:space="preserve"> </w:t>
      </w:r>
      <w:r w:rsidR="001621E2">
        <w:t xml:space="preserve">(also known as G/T) </w:t>
      </w:r>
      <w:r w:rsidR="00D9764E">
        <w:t xml:space="preserve">is a critical measure of performance of the GS. </w:t>
      </w:r>
      <w:r w:rsidR="00300CDD">
        <w:t xml:space="preserve">It </w:t>
      </w:r>
      <w:r w:rsidR="00EC5FA6">
        <w:t>denotes</w:t>
      </w:r>
      <w:r w:rsidR="00300CDD">
        <w:t xml:space="preserve"> the antenna’s ability to capture the downlink signal</w:t>
      </w:r>
      <w:r w:rsidR="00472996">
        <w:t xml:space="preserve"> </w:t>
      </w:r>
      <w:r w:rsidR="002C1784">
        <w:t>among the other noise present in the system. It is given by the formula below.</w:t>
      </w:r>
    </w:p>
    <w:p w14:paraId="445AEC7F" w14:textId="239BBDF4" w:rsidR="002C1784" w:rsidRPr="00F07D56" w:rsidRDefault="002C17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G/T=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sys</m:t>
              </m:r>
            </m:sub>
          </m:sSub>
          <m:r>
            <w:rPr>
              <w:rFonts w:ascii="Cambria Math" w:hAnsi="Cambria Math"/>
            </w:rPr>
            <m:t xml:space="preserve">   (dB)</m:t>
          </m:r>
        </m:oMath>
      </m:oMathPara>
    </w:p>
    <w:p w14:paraId="068673E6" w14:textId="51EBB067" w:rsidR="00F07D56" w:rsidRDefault="002255CE" w:rsidP="007F6CF1">
      <w:r>
        <w:t xml:space="preserve">The </w:t>
      </w:r>
      <w:r w:rsidR="007F6CF1" w:rsidRPr="007F6CF1">
        <w:rPr>
          <w:b/>
          <w:bCs/>
        </w:rPr>
        <w:t>Implementation loss</w:t>
      </w:r>
      <w:r w:rsidR="007F6CF1">
        <w:t xml:space="preserve"> is </w:t>
      </w:r>
      <w:r>
        <w:t>an estimate of the</w:t>
      </w:r>
      <w:r w:rsidR="007F6CF1">
        <w:t xml:space="preserve"> </w:t>
      </w:r>
      <w:r w:rsidR="00736753">
        <w:t xml:space="preserve">loss incurred from the </w:t>
      </w:r>
      <w:r w:rsidR="007F6CF1">
        <w:t>difference between the</w:t>
      </w:r>
      <w:r w:rsidR="007F6CF1">
        <w:t xml:space="preserve"> </w:t>
      </w:r>
      <w:r w:rsidR="007F6CF1">
        <w:t>theoretical AWGN Eb/N0 and the measured Eb/N0</w:t>
      </w:r>
      <w:r w:rsidR="007F6CF1">
        <w:t xml:space="preserve"> of the </w:t>
      </w:r>
      <w:r w:rsidR="0023145F">
        <w:t>signal</w:t>
      </w:r>
      <w:r w:rsidR="00736753">
        <w:t xml:space="preserve">. It is expected to be between 1 and 2 dB for lower coding rates. </w:t>
      </w:r>
    </w:p>
    <w:p w14:paraId="3E284100" w14:textId="124CB5E9" w:rsidR="002255CE" w:rsidRDefault="002255CE" w:rsidP="007F6CF1">
      <w:r>
        <w:t>Source for implementation loss</w:t>
      </w:r>
      <w:r w:rsidR="00FA72A3">
        <w:t xml:space="preserve">: </w:t>
      </w:r>
      <w:hyperlink r:id="rId7" w:history="1">
        <w:r w:rsidR="004873A3" w:rsidRPr="00AF2DF0">
          <w:rPr>
            <w:rStyle w:val="Hyperlink"/>
          </w:rPr>
          <w:t>https://ntrs.nasa.gov/api/citations/20190028945/downloads/20190028945.pdf</w:t>
        </w:r>
      </w:hyperlink>
      <w:r>
        <w:t xml:space="preserve"> </w:t>
      </w:r>
    </w:p>
    <w:p w14:paraId="6BE7F155" w14:textId="4DEE6B54" w:rsidR="00286726" w:rsidRDefault="00286726" w:rsidP="007F6CF1">
      <w:r>
        <w:t xml:space="preserve">The </w:t>
      </w:r>
      <w:r w:rsidR="00F14E0B">
        <w:t>carrier-to-noise-density-ratio (</w:t>
      </w:r>
      <w:r w:rsidR="00F14E0B" w:rsidRPr="00F14E0B">
        <w:rPr>
          <w:b/>
          <w:bCs/>
        </w:rPr>
        <w:t>CN0R</w:t>
      </w:r>
      <w:r w:rsidR="00F14E0B">
        <w:t xml:space="preserve">) </w:t>
      </w:r>
      <w:r w:rsidR="00D5325D">
        <w:t xml:space="preserve">is a critical measure of performance. It </w:t>
      </w:r>
      <w:r w:rsidR="00F14E0B">
        <w:t xml:space="preserve">denotes </w:t>
      </w:r>
      <w:r w:rsidR="00EC5FA6">
        <w:t>the power of the signal relative to the noise of the pa</w:t>
      </w:r>
      <w:r w:rsidR="00D5325D">
        <w:t>th and system</w:t>
      </w:r>
      <w:r w:rsidR="00EC5FA6">
        <w:t>.</w:t>
      </w:r>
      <w:r w:rsidR="00934616">
        <w:t xml:space="preserve"> The formula for CN0R is given below, where </w:t>
      </w:r>
      <m:oMath>
        <m:r>
          <w:rPr>
            <w:rFonts w:ascii="Cambria Math" w:hAnsi="Cambria Math"/>
          </w:rPr>
          <m:t>k</m:t>
        </m:r>
      </m:oMath>
      <w:r w:rsidR="00934616">
        <w:rPr>
          <w:rFonts w:eastAsiaTheme="minorEastAsia"/>
        </w:rPr>
        <w:t xml:space="preserve"> is </w:t>
      </w:r>
      <w:r w:rsidR="00001C7B">
        <w:rPr>
          <w:rFonts w:eastAsiaTheme="minorEastAsia"/>
        </w:rPr>
        <w:t xml:space="preserve">the </w:t>
      </w:r>
      <w:r w:rsidR="00001C7B" w:rsidRPr="00001C7B">
        <w:rPr>
          <w:rFonts w:eastAsiaTheme="minorEastAsia"/>
        </w:rPr>
        <w:t>Boltzmann constant</w:t>
      </w:r>
      <w:r w:rsidR="00001C7B">
        <w:rPr>
          <w:rFonts w:eastAsiaTheme="minorEastAsia"/>
        </w:rPr>
        <w:t>.</w:t>
      </w:r>
    </w:p>
    <w:p w14:paraId="4C285291" w14:textId="63F3854D" w:rsidR="00470C25" w:rsidRPr="000D1C35" w:rsidRDefault="00470C25" w:rsidP="007F6C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=EIRP-FSPL-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path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(dB)</m:t>
          </m:r>
        </m:oMath>
      </m:oMathPara>
    </w:p>
    <w:p w14:paraId="60A52D5D" w14:textId="5B924C89" w:rsidR="000D1C35" w:rsidRDefault="000D1C35" w:rsidP="007F6CF1">
      <w:pPr>
        <w:rPr>
          <w:rFonts w:eastAsiaTheme="minorEastAsia"/>
        </w:rPr>
      </w:pPr>
      <w:r>
        <w:t>The carrier-to-noise-ratio (</w:t>
      </w:r>
      <w:r w:rsidRPr="005B471F">
        <w:rPr>
          <w:b/>
          <w:bCs/>
        </w:rPr>
        <w:t>CNR</w:t>
      </w:r>
      <w:r>
        <w:t xml:space="preserve">) is </w:t>
      </w:r>
      <w:r>
        <w:t>a critical measure of performance. It denotes the power of the signal relative to the noise of the path and system</w:t>
      </w:r>
      <w:r w:rsidR="003672E7">
        <w:t xml:space="preserve"> for a specified bandwidth</w:t>
      </w:r>
      <w:r w:rsidR="001E19F2">
        <w:t>.</w:t>
      </w:r>
      <w:r w:rsidR="00840544">
        <w:t xml:space="preserve"> The formula for CNR is given below, </w:t>
      </w:r>
      <w:r w:rsidR="00840544">
        <w:t xml:space="preserve">where </w:t>
      </w:r>
      <m:oMath>
        <m:r>
          <w:rPr>
            <w:rFonts w:ascii="Cambria Math" w:hAnsi="Cambria Math"/>
          </w:rPr>
          <m:t>k</m:t>
        </m:r>
      </m:oMath>
      <w:r w:rsidR="00840544">
        <w:rPr>
          <w:rFonts w:eastAsiaTheme="minorEastAsia"/>
        </w:rPr>
        <w:t xml:space="preserve"> is the </w:t>
      </w:r>
      <w:r w:rsidR="00840544" w:rsidRPr="00001C7B">
        <w:rPr>
          <w:rFonts w:eastAsiaTheme="minorEastAsia"/>
        </w:rPr>
        <w:t>Boltzmann constant</w:t>
      </w:r>
      <w:r w:rsidR="00840544">
        <w:rPr>
          <w:rFonts w:eastAsiaTheme="minorEastAsia"/>
        </w:rPr>
        <w:t>.</w:t>
      </w:r>
    </w:p>
    <w:p w14:paraId="1E8AC1BE" w14:textId="377E9D40" w:rsidR="00840544" w:rsidRPr="000D1C35" w:rsidRDefault="00840544" w:rsidP="00840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C/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=EIRP-FSPL-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path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hAnsi="Cambria Math"/>
            </w:rPr>
            <m:t>-B</m:t>
          </m:r>
          <m:r>
            <w:rPr>
              <w:rFonts w:ascii="Cambria Math" w:hAnsi="Cambria Math"/>
            </w:rPr>
            <m:t xml:space="preserve">   (dB)</m:t>
          </m:r>
        </m:oMath>
      </m:oMathPara>
    </w:p>
    <w:p w14:paraId="184EB537" w14:textId="64265F87" w:rsidR="00840544" w:rsidRDefault="006D03C6" w:rsidP="007F6CF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6D03C6">
        <w:rPr>
          <w:rFonts w:eastAsiaTheme="minorEastAsia"/>
          <w:b/>
          <w:bCs/>
        </w:rPr>
        <w:t>required CNR</w:t>
      </w:r>
      <w:r>
        <w:rPr>
          <w:rFonts w:eastAsiaTheme="minorEastAsia"/>
        </w:rPr>
        <w:t xml:space="preserve"> is the minimum required CNR </w:t>
      </w:r>
      <w:r w:rsidR="00C626F9">
        <w:rPr>
          <w:rFonts w:eastAsiaTheme="minorEastAsia"/>
        </w:rPr>
        <w:t>to establish a reliable link between STRATHcube and the GS</w:t>
      </w:r>
      <w:r w:rsidR="007F02C3">
        <w:rPr>
          <w:rFonts w:eastAsiaTheme="minorEastAsia"/>
        </w:rPr>
        <w:t xml:space="preserve">. </w:t>
      </w:r>
      <w:r w:rsidR="00531DD4">
        <w:rPr>
          <w:rFonts w:eastAsiaTheme="minorEastAsia"/>
        </w:rPr>
        <w:t xml:space="preserve">This number </w:t>
      </w:r>
      <w:r w:rsidR="007F02C3">
        <w:rPr>
          <w:rFonts w:eastAsiaTheme="minorEastAsia"/>
        </w:rPr>
        <w:t xml:space="preserve">is </w:t>
      </w:r>
      <w:r w:rsidR="00531DD4">
        <w:rPr>
          <w:rFonts w:eastAsiaTheme="minorEastAsia"/>
        </w:rPr>
        <w:t xml:space="preserve">based on the requirements of </w:t>
      </w:r>
      <w:r w:rsidR="00AF30CD">
        <w:rPr>
          <w:rFonts w:eastAsiaTheme="minorEastAsia"/>
        </w:rPr>
        <w:t>the suite of modulation and encoding schemes within DVB-S2.</w:t>
      </w:r>
    </w:p>
    <w:p w14:paraId="42E1ED8B" w14:textId="57237F24" w:rsidR="00456469" w:rsidRDefault="00456469" w:rsidP="007F6CF1">
      <w:pPr>
        <w:rPr>
          <w:rFonts w:eastAsiaTheme="minorEastAsia"/>
        </w:rPr>
      </w:pPr>
      <w:r>
        <w:rPr>
          <w:rFonts w:eastAsiaTheme="minorEastAsia"/>
        </w:rPr>
        <w:t xml:space="preserve">See figure H.2: </w:t>
      </w:r>
      <w:hyperlink r:id="rId8" w:history="1">
        <w:r w:rsidRPr="00AF2DF0">
          <w:rPr>
            <w:rStyle w:val="Hyperlink"/>
            <w:rFonts w:eastAsiaTheme="minorEastAsia"/>
          </w:rPr>
          <w:t>https://www.etsi.org/deliver/etsi_en/302300_302399/302307/01.03.01_20/en_302307v010301a.pdf</w:t>
        </w:r>
      </w:hyperlink>
      <w:r>
        <w:rPr>
          <w:rFonts w:eastAsiaTheme="minorEastAsia"/>
        </w:rPr>
        <w:t xml:space="preserve"> </w:t>
      </w:r>
    </w:p>
    <w:p w14:paraId="3D963E80" w14:textId="562E13D8" w:rsidR="00840544" w:rsidRDefault="009760CD" w:rsidP="002C7CCE">
      <w:pPr>
        <w:tabs>
          <w:tab w:val="left" w:pos="7710"/>
        </w:tabs>
      </w:pPr>
      <w:r>
        <w:t xml:space="preserve">The </w:t>
      </w:r>
      <w:r w:rsidRPr="009760CD">
        <w:rPr>
          <w:b/>
          <w:bCs/>
        </w:rPr>
        <w:t>link margin</w:t>
      </w:r>
      <w:r>
        <w:t xml:space="preserve"> is a critical measure of performance.</w:t>
      </w:r>
      <w:r w:rsidR="002C7CCE">
        <w:t xml:space="preserve"> It denotes the link’s tolerance to </w:t>
      </w:r>
      <w:r w:rsidR="00171BE5">
        <w:t>noise factors that might impact the system.</w:t>
      </w:r>
      <w:r w:rsidR="008546A9">
        <w:t xml:space="preserve"> It is given by the formula below.</w:t>
      </w:r>
    </w:p>
    <w:p w14:paraId="0AC23A1E" w14:textId="09D200D1" w:rsidR="008546A9" w:rsidRDefault="008546A9" w:rsidP="002C7CCE">
      <w:pPr>
        <w:tabs>
          <w:tab w:val="left" w:pos="7710"/>
        </w:tabs>
      </w:pPr>
      <m:oMathPara>
        <m:oMath>
          <m:r>
            <w:rPr>
              <w:rFonts w:ascii="Cambria Math" w:hAnsi="Cambria Math"/>
            </w:rPr>
            <m:t>Link margin=CNR-CN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req</m:t>
              </m:r>
            </m:sub>
          </m:sSub>
          <m:r>
            <w:rPr>
              <w:rFonts w:ascii="Cambria Math" w:hAnsi="Cambria Math"/>
            </w:rPr>
            <m:t xml:space="preserve">   (dB)</m:t>
          </m:r>
        </m:oMath>
      </m:oMathPara>
    </w:p>
    <w:p w14:paraId="628E18F5" w14:textId="77777777" w:rsidR="00D5325D" w:rsidRDefault="00D5325D" w:rsidP="007F6CF1"/>
    <w:sectPr w:rsidR="00D53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04"/>
    <w:rsid w:val="00001C7B"/>
    <w:rsid w:val="000226CE"/>
    <w:rsid w:val="00040392"/>
    <w:rsid w:val="000403A7"/>
    <w:rsid w:val="00041821"/>
    <w:rsid w:val="000513CD"/>
    <w:rsid w:val="000634EA"/>
    <w:rsid w:val="000720B7"/>
    <w:rsid w:val="00084455"/>
    <w:rsid w:val="000944F2"/>
    <w:rsid w:val="000B31CE"/>
    <w:rsid w:val="000B458C"/>
    <w:rsid w:val="000C46A3"/>
    <w:rsid w:val="000D1C35"/>
    <w:rsid w:val="000E5E7B"/>
    <w:rsid w:val="00110859"/>
    <w:rsid w:val="00126A3A"/>
    <w:rsid w:val="00157ED6"/>
    <w:rsid w:val="001621E2"/>
    <w:rsid w:val="00171BE5"/>
    <w:rsid w:val="00173340"/>
    <w:rsid w:val="00192CA9"/>
    <w:rsid w:val="001A6E21"/>
    <w:rsid w:val="001B202F"/>
    <w:rsid w:val="001B2B6F"/>
    <w:rsid w:val="001E19F2"/>
    <w:rsid w:val="00200BCE"/>
    <w:rsid w:val="00222C49"/>
    <w:rsid w:val="002255CE"/>
    <w:rsid w:val="0023145F"/>
    <w:rsid w:val="00235C77"/>
    <w:rsid w:val="002465B0"/>
    <w:rsid w:val="00265E43"/>
    <w:rsid w:val="00286726"/>
    <w:rsid w:val="002952EE"/>
    <w:rsid w:val="002C1784"/>
    <w:rsid w:val="002C33B1"/>
    <w:rsid w:val="002C53F4"/>
    <w:rsid w:val="002C7CCE"/>
    <w:rsid w:val="002E3E5F"/>
    <w:rsid w:val="002F536A"/>
    <w:rsid w:val="00300CDD"/>
    <w:rsid w:val="00312E43"/>
    <w:rsid w:val="00314FDF"/>
    <w:rsid w:val="00332846"/>
    <w:rsid w:val="00355ABF"/>
    <w:rsid w:val="003672E7"/>
    <w:rsid w:val="00391CBC"/>
    <w:rsid w:val="003F268E"/>
    <w:rsid w:val="003F6277"/>
    <w:rsid w:val="00456469"/>
    <w:rsid w:val="004700DC"/>
    <w:rsid w:val="00470C25"/>
    <w:rsid w:val="00472996"/>
    <w:rsid w:val="004873A3"/>
    <w:rsid w:val="00506F2E"/>
    <w:rsid w:val="00531DD4"/>
    <w:rsid w:val="005423C6"/>
    <w:rsid w:val="00546680"/>
    <w:rsid w:val="00551860"/>
    <w:rsid w:val="0056168A"/>
    <w:rsid w:val="0058016C"/>
    <w:rsid w:val="005B471F"/>
    <w:rsid w:val="005C5ACC"/>
    <w:rsid w:val="005F1FBD"/>
    <w:rsid w:val="005F4952"/>
    <w:rsid w:val="00631605"/>
    <w:rsid w:val="00680574"/>
    <w:rsid w:val="00685576"/>
    <w:rsid w:val="006D03C6"/>
    <w:rsid w:val="006D4DE2"/>
    <w:rsid w:val="0071708D"/>
    <w:rsid w:val="007355B4"/>
    <w:rsid w:val="0073660A"/>
    <w:rsid w:val="00736753"/>
    <w:rsid w:val="00745C1E"/>
    <w:rsid w:val="007611B5"/>
    <w:rsid w:val="00762A30"/>
    <w:rsid w:val="00776937"/>
    <w:rsid w:val="00781238"/>
    <w:rsid w:val="007B36BF"/>
    <w:rsid w:val="007F02C3"/>
    <w:rsid w:val="007F6CF1"/>
    <w:rsid w:val="00800142"/>
    <w:rsid w:val="00800CB5"/>
    <w:rsid w:val="00834A0A"/>
    <w:rsid w:val="00840544"/>
    <w:rsid w:val="008546A9"/>
    <w:rsid w:val="008A22F9"/>
    <w:rsid w:val="008C2546"/>
    <w:rsid w:val="00932EC4"/>
    <w:rsid w:val="00934616"/>
    <w:rsid w:val="00955727"/>
    <w:rsid w:val="00960211"/>
    <w:rsid w:val="009760CD"/>
    <w:rsid w:val="00997C78"/>
    <w:rsid w:val="009A7FBB"/>
    <w:rsid w:val="00A0749D"/>
    <w:rsid w:val="00A14131"/>
    <w:rsid w:val="00A30035"/>
    <w:rsid w:val="00A3339A"/>
    <w:rsid w:val="00A352D6"/>
    <w:rsid w:val="00A510B0"/>
    <w:rsid w:val="00AD7D5D"/>
    <w:rsid w:val="00AF30CD"/>
    <w:rsid w:val="00AF5274"/>
    <w:rsid w:val="00B4389C"/>
    <w:rsid w:val="00B50C06"/>
    <w:rsid w:val="00B620A0"/>
    <w:rsid w:val="00B74428"/>
    <w:rsid w:val="00B74D72"/>
    <w:rsid w:val="00B95DA0"/>
    <w:rsid w:val="00BB0E29"/>
    <w:rsid w:val="00C01197"/>
    <w:rsid w:val="00C579DF"/>
    <w:rsid w:val="00C61D22"/>
    <w:rsid w:val="00C626F9"/>
    <w:rsid w:val="00C67F37"/>
    <w:rsid w:val="00C73C66"/>
    <w:rsid w:val="00C754B6"/>
    <w:rsid w:val="00C96B13"/>
    <w:rsid w:val="00CB2369"/>
    <w:rsid w:val="00CF55F7"/>
    <w:rsid w:val="00D02F5B"/>
    <w:rsid w:val="00D5325D"/>
    <w:rsid w:val="00D62F5B"/>
    <w:rsid w:val="00D9764E"/>
    <w:rsid w:val="00DC1EF3"/>
    <w:rsid w:val="00E26F74"/>
    <w:rsid w:val="00E34D04"/>
    <w:rsid w:val="00E34F24"/>
    <w:rsid w:val="00E54FC1"/>
    <w:rsid w:val="00E77D13"/>
    <w:rsid w:val="00EB6A44"/>
    <w:rsid w:val="00EC5FA6"/>
    <w:rsid w:val="00F07D56"/>
    <w:rsid w:val="00F14E0B"/>
    <w:rsid w:val="00F26A71"/>
    <w:rsid w:val="00F457E3"/>
    <w:rsid w:val="00F662D9"/>
    <w:rsid w:val="00F7666F"/>
    <w:rsid w:val="00FA7239"/>
    <w:rsid w:val="00FA72A3"/>
    <w:rsid w:val="00F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E084"/>
  <w15:chartTrackingRefBased/>
  <w15:docId w15:val="{AC07FC6A-3842-4F80-91A6-082A057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54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0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04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04"/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04"/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0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0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0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0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34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0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34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0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34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0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34D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4E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A22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i.org/deliver/etsi_en/302300_302399/302307/01.03.01_20/en_302307v010301a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trs.nasa.gov/api/citations/20190028945/downloads/2019002894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acubesat/documentation/cdr-public/-/blob/master/DDJF/DDJF_LINK_ARPT.pdf?ref_type=heads" TargetMode="External"/><Relationship Id="rId5" Type="http://schemas.openxmlformats.org/officeDocument/2006/relationships/hyperlink" Target="https://gitlab.com/acubesat/documentation/cdr-public/-/blob/master/DDJF/DDJF_GS.pdf?ref_type=hea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lab.com/acubesat/documentation/cdr-public/-/blob/master/DDJF/DDJF_LINK_ARPT.pdf?ref_type=hea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Preben Rasamanickam (Student)</dc:creator>
  <cp:keywords/>
  <dc:description/>
  <cp:lastModifiedBy>Preben Rasamanickam (Student)</cp:lastModifiedBy>
  <cp:revision>141</cp:revision>
  <dcterms:created xsi:type="dcterms:W3CDTF">2024-11-07T23:56:00Z</dcterms:created>
  <dcterms:modified xsi:type="dcterms:W3CDTF">2024-11-08T02:03:00Z</dcterms:modified>
</cp:coreProperties>
</file>