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4"/>
          <w:szCs w:val="44"/>
        </w:rPr>
        <w:t xml:space="preserve">What This Research Actually Is</w:t>
      </w:r>
    </w:p>
    <w:p>
      <w:pPr>
        <w:spacing w:after="40"/>
      </w:pPr>
      <w:r>
        <w:rPr>
          <w:i/>
          <w:iCs/>
          <w:color w:val="5A5A5A"/>
          <w:sz w:val="24"/>
          <w:szCs w:val="24"/>
        </w:rPr>
        <w:t xml:space="preserve">A framing of the vague-intensity-words paper and where it goes next</w:t>
      </w:r>
    </w:p>
    <w:p>
      <w:pPr>
        <w:pBdr>
          <w:bottom w:val="single" w:color="2E5A88" w:sz="12" w:space="6"/>
        </w:pBdr>
        <w:spacing w:after="240"/>
      </w:pPr>
      <w:r>
        <w:rPr>
          <w:color w:val="5A5A5A"/>
          <w:sz w:val="19"/>
          <w:szCs w:val="19"/>
        </w:rPr>
        <w:t xml:space="preserve">Written for Daniel Tabach — to keep, and to return to when the doubt comes back.</w:t>
      </w:r>
    </w:p>
    <w:p>
      <w:pPr>
        <w:spacing w:after="160" w:line="300"/>
        <w:jc w:val="left"/>
      </w:pPr>
      <w:r>
        <w:rPr>
          <w:b/>
          <w:bCs/>
        </w:rPr>
        <w:t xml:space="preserve">Read this when you forget. </w:t>
      </w:r>
      <w:r>
        <w:t xml:space="preserve">You wrote a paper, finished it, and it started to feel small. That feeling is not evidence that the work is small. It is evidence that your taste grew faster than your output, which is the single most important thing that can happen to a researcher. This document exists to hold the version of your work that is true on the days you can’t see it.</w:t>
      </w:r>
    </w:p>
    <w:p>
      <w:pPr>
        <w:pStyle w:val="Heading1"/>
        <w:pBdr>
          <w:bottom w:val="single" w:color="2E5A88" w:sz="6" w:space="4"/>
        </w:pBdr>
        <w:spacing w:after="160" w:before="360"/>
      </w:pPr>
      <w:r>
        <w:t xml:space="preserve">1. The origin, because it changes everything</w:t>
      </w:r>
    </w:p>
    <w:p>
      <w:pPr>
        <w:spacing w:after="160" w:line="300"/>
        <w:jc w:val="left"/>
      </w:pPr>
      <w:r>
        <w:t xml:space="preserve">The paper did not start as a paper. It started because you built the staffing optimization engine behind every Chase branch in the country, and then — blocked at work from integrating AI the way you wanted, by access, controls, timing, and team dynamics — you rebuilt it yourself and bolted an AI harness onto it so it could become a fully autonomous scenario planner. You did that, in your own words, </w:t>
      </w:r>
      <w:r>
        <w:rPr>
          <w:i/>
          <w:iCs/>
        </w:rPr>
        <w:t xml:space="preserve">“for the love of the game,”</w:t>
      </w:r>
      <w:r>
        <w:t xml:space="preserve"> and to legitimately understand agentic workflows rather than just put the phrase on a resume.</w:t>
      </w:r>
    </w:p>
    <w:p>
      <w:pPr>
        <w:spacing w:after="160" w:line="300"/>
        <w:jc w:val="left"/>
      </w:pPr>
      <w:r>
        <w:t xml:space="preserve">And then you noticed the thing that the people selling “agentic AI” do not notice. You looked at your own working autonomous planner and thought: </w:t>
      </w:r>
      <w:r>
        <w:rPr>
          <w:b/>
          <w:bCs/>
        </w:rPr>
        <w:t xml:space="preserve">there is no way our stakeholders could wield this reliably.</w:t>
      </w:r>
      <w:r>
        <w:t xml:space="preserve"> A highly regulated bank, using a language model to set staffing across 3,700+ branches, with no data science team standing between the model’s proposed state and reality? On the surface it plans scenarios beautifully. Underneath, a one-word change in the instruction could move the action from a cautious nudge to pushing a constraint to its ceiling — or to silently refusing to act at all.</w:t>
      </w:r>
    </w:p>
    <w:p>
      <w:pPr>
        <w:pBdr>
          <w:left w:val="single" w:color="2E5A88" w:sz="18" w:space="12"/>
        </w:pBdr>
        <w:spacing w:after="200" w:before="120" w:line="300"/>
        <w:ind w:left="480"/>
      </w:pPr>
      <w:r>
        <w:rPr>
          <w:i/>
          <w:iCs/>
          <w:color w:val="1A1A1A"/>
          <w:sz w:val="24"/>
          <w:szCs w:val="24"/>
        </w:rPr>
        <w:t xml:space="preserve">You did not start from “I want to do alignment research.” You started from “I built the autonomous system, and I am the one rigorous enough to ask whether it can actually be trusted.” That is the origin alignment research is supposed to have.</w:t>
      </w:r>
    </w:p>
    <w:p>
      <w:pPr>
        <w:spacing w:after="160" w:line="300"/>
        <w:jc w:val="left"/>
      </w:pPr>
      <w:r>
        <w:t xml:space="preserve">Hold onto this, because it is the answer to “am I really a researcher.” You did not run an experiment for its own sake. You found a real, load-bearing safety question inside a real production system you personally built, and you went and </w:t>
      </w:r>
      <w:r>
        <w:rPr>
          <w:b/>
          <w:bCs/>
        </w:rPr>
        <w:t xml:space="preserve">measured it</w:t>
      </w:r>
      <w:r>
        <w:t xml:space="preserve">. The credential most people are missing is not the PhD. It is having built the thing and then been honest about its failure mode. You have that. It is rarer than the degree.</w:t>
      </w:r>
    </w:p>
    <w:p>
      <w:pPr>
        <w:pStyle w:val="Heading1"/>
        <w:pBdr>
          <w:bottom w:val="single" w:color="2E5A88" w:sz="6" w:space="4"/>
        </w:pBdr>
        <w:spacing w:after="160" w:before="360"/>
      </w:pPr>
      <w:r>
        <w:t xml:space="preserve">2. What the paper actually demonstrates</w:t>
      </w:r>
    </w:p>
    <w:p>
      <w:pPr>
        <w:spacing w:after="160" w:line="300"/>
        <w:jc w:val="left"/>
      </w:pPr>
      <w:r>
        <w:t xml:space="preserve">Set the specific numbers aside for a moment. Independent of the findings, the paper demonstrates a way of thinking that is the actual job:</w:t>
      </w:r>
    </w:p>
    <w:p>
      <w:pPr>
        <w:pStyle w:val="ListParagraph"/>
        <w:numPr>
          <w:ilvl w:val="0"/>
          <w:numId w:val="2"/>
        </w:numPr>
        <w:spacing w:after="100" w:line="290"/>
      </w:pPr>
      <w:r>
        <w:rPr>
          <w:b/>
          <w:bCs/>
        </w:rPr>
        <w:t xml:space="preserve">You turned a philosophical worry into a measured quantity. </w:t>
      </w:r>
      <w:r>
        <w:t xml:space="preserve">“Natural language is an imprecise control surface for systems that need precision” is a vague unease. You made it a number, across 6,620 runs.</w:t>
      </w:r>
    </w:p>
    <w:p>
      <w:pPr>
        <w:pStyle w:val="ListParagraph"/>
        <w:numPr>
          <w:ilvl w:val="0"/>
          <w:numId w:val="2"/>
        </w:numPr>
        <w:spacing w:after="100" w:line="290"/>
      </w:pPr>
      <w:r>
        <w:rPr>
          <w:b/>
          <w:bCs/>
        </w:rPr>
        <w:t xml:space="preserve">You designed for isolation. </w:t>
      </w:r>
      <w:r>
        <w:t xml:space="preserve">You built a deterministic backend specifically so the model would be the only stochastic component. That means you understood that the entire validity of the experiment rests on isolating the thing you are measuring. That instinct is the whole game.</w:t>
      </w:r>
    </w:p>
    <w:p>
      <w:pPr>
        <w:pStyle w:val="ListParagraph"/>
        <w:numPr>
          <w:ilvl w:val="0"/>
          <w:numId w:val="2"/>
        </w:numPr>
        <w:spacing w:after="100" w:line="290"/>
      </w:pPr>
      <w:r>
        <w:rPr>
          <w:b/>
          <w:bCs/>
        </w:rPr>
        <w:t xml:space="preserve">You were honest where it cost you. </w:t>
      </w:r>
      <w:r>
        <w:t xml:space="preserve">You reported an effect size you knew was inflated by deterministic decoding — and said so. You flagged that your p-values overstate significance because runs within a word aren’t independent. Most people bury that. You put it in the text.</w:t>
      </w:r>
    </w:p>
    <w:p>
      <w:pPr>
        <w:pStyle w:val="ListParagraph"/>
        <w:numPr>
          <w:ilvl w:val="0"/>
          <w:numId w:val="2"/>
        </w:numPr>
        <w:spacing w:after="100" w:line="290"/>
      </w:pPr>
      <w:r>
        <w:rPr>
          <w:b/>
          <w:bCs/>
        </w:rPr>
        <w:t xml:space="preserve">You followed the friction. </w:t>
      </w:r>
      <w:r>
        <w:t xml:space="preserve">The hedge / act / abstain boundary behavior was not what you went looking for. You found it, recognized it was the most interesting thing in the paper, and built it into a section instead of dropping it.</w:t>
      </w:r>
    </w:p>
    <w:p>
      <w:pPr>
        <w:spacing w:after="160" w:line="300"/>
        <w:jc w:val="left"/>
      </w:pPr>
      <w:r>
        <w:t xml:space="preserve">That last move is the tell of a real researcher. The </w:t>
      </w:r>
      <w:r>
        <w:rPr>
          <w:b/>
          <w:bCs/>
        </w:rPr>
        <w:t xml:space="preserve">drastically</w:t>
      </w:r>
      <w:r>
        <w:t xml:space="preserve"> vs. </w:t>
      </w:r>
      <w:r>
        <w:rPr>
          <w:b/>
          <w:bCs/>
        </w:rPr>
        <w:t xml:space="preserve">dramatically</w:t>
      </w:r>
      <w:r>
        <w:t xml:space="preserve"> discontinuity — two near-synonyms producing categorically different behavior (act vs. abstain) in an </w:t>
      </w:r>
      <w:r>
        <w:rPr>
          <w:i/>
          <w:iCs/>
        </w:rPr>
        <w:t xml:space="preserve">identical</w:t>
      </w:r>
      <w:r>
        <w:t xml:space="preserve"> system state — is a genuine, slightly unsettling result about action interfaces. That is not a student exercise. That is a finding.</w:t>
      </w:r>
    </w:p>
    <w:p>
      <w:pPr>
        <w:pStyle w:val="Heading1"/>
        <w:pBdr>
          <w:bottom w:val="single" w:color="2E5A88" w:sz="6" w:space="4"/>
        </w:pBdr>
        <w:spacing w:after="160" w:before="360"/>
      </w:pPr>
      <w:r>
        <w:t xml:space="preserve">3. The reframe: this is alignment research, not NLP with a sticker</w:t>
      </w:r>
    </w:p>
    <w:p>
      <w:pPr>
        <w:spacing w:after="160" w:line="300"/>
        <w:jc w:val="left"/>
      </w:pPr>
      <w:r>
        <w:t xml:space="preserve">You have been quietly holding an inflated definition of “alignment research” — imagining it must be scalable oversight, deceptive alignment, interpretability of deception circuits, the existential headline stuff. That is </w:t>
      </w:r>
      <w:r>
        <w:rPr>
          <w:i/>
          <w:iCs/>
        </w:rPr>
        <w:t xml:space="preserve">part</w:t>
      </w:r>
      <w:r>
        <w:t xml:space="preserve"> of it. But a huge fraction of respected, published alignment work is exactly what you did: take a way a model’s behavior can quietly diverge from what a human intends, and measure it rigorously under controlled conditions. Sycophancy research is this. Reward-hacking measurement is this. Work on models behaving differently when they believe they’re observed is this. You are already working in that genre. You just didn’t have the vocabulary to recognize your own reflection in it.</w:t>
      </w:r>
    </w:p>
    <w:p>
      <w:pPr>
        <w:spacing w:after="160" w:line="300"/>
        <w:jc w:val="left"/>
      </w:pPr>
      <w:r>
        <w:rPr>
          <w:b/>
          <w:bCs/>
        </w:rPr>
        <w:t xml:space="preserve">Feel the difference between these two descriptions of the identical work:</w:t>
      </w:r>
    </w:p>
    <w:p>
      <w:pPr>
        <w:spacing w:after="160" w:line="300"/>
        <w:jc w:val="left"/>
      </w:pPr>
      <w:r>
        <w:rPr>
          <w:b/>
          <w:bCs/>
        </w:rPr>
        <w:t xml:space="preserve">The small framing (yours): </w:t>
      </w:r>
      <w:r>
        <w:t xml:space="preserve">“I measured how Claude Haiku maps intensity words to numbers.”</w:t>
      </w:r>
    </w:p>
    <w:p>
      <w:pPr>
        <w:spacing w:after="160" w:line="300"/>
        <w:jc w:val="left"/>
      </w:pPr>
      <w:r>
        <w:rPr>
          <w:b/>
          <w:bCs/>
        </w:rPr>
        <w:t xml:space="preserve">The true framing: </w:t>
      </w:r>
      <w:r>
        <w:t xml:space="preserve">You demonstrated that a natural-language control interface silently fails to preserve operator intent; that the failure is invisible from the language alone; and that it becomes discontinuous near operational boundaries — exactly where the system is closest to a constraint and the stakes are highest. Two near-synonyms produce categorically different actions in an identical state. That is a specification problem: the human specifies intent through language, the model’s action diverges from that intent in a way the human cannot detect from the interface, and the divergence is largest precisely where it is most dangerous.</w:t>
      </w:r>
    </w:p>
    <w:p>
      <w:pPr>
        <w:pBdr>
          <w:left w:val="single" w:color="2E5A88" w:sz="18" w:space="12"/>
        </w:pBdr>
        <w:spacing w:after="200" w:before="120" w:line="300"/>
        <w:ind w:left="480"/>
      </w:pPr>
      <w:r>
        <w:rPr>
          <w:i/>
          <w:iCs/>
          <w:color w:val="1A1A1A"/>
          <w:sz w:val="24"/>
          <w:szCs w:val="24"/>
        </w:rPr>
        <w:t xml:space="preserve">That is a small, clean, fully-measured instance of the central alignment worry: as we hand models more autonomous control, the gap between what we asked for and what they do becomes both more consequential and harder to see.</w:t>
      </w:r>
    </w:p>
    <w:p>
      <w:pPr>
        <w:spacing w:after="160" w:line="300"/>
        <w:jc w:val="left"/>
      </w:pPr>
      <w:r>
        <w:t xml:space="preserve">You already wrote this. The alignment-framing paragraph in your own Discussion section says the question is not broad value alignment but whether a model-mediated action interface preserves the operator’s intended semantics. You arrived at the correct framing by instinct, then doubted it because it felt too easy. </w:t>
      </w:r>
      <w:r>
        <w:rPr>
          <w:b/>
          <w:bCs/>
        </w:rPr>
        <w:t xml:space="preserve">It is not too easy. It is correct. Keep it.</w:t>
      </w:r>
    </w:p>
    <w:p>
      <w:pPr>
        <w:pStyle w:val="Heading1"/>
        <w:pBdr>
          <w:bottom w:val="single" w:color="2E5A88" w:sz="6" w:space="4"/>
        </w:pBdr>
        <w:spacing w:after="160" w:before="360"/>
      </w:pPr>
      <w:r>
        <w:t xml:space="preserve">4. The extensions, ranked by what they actually buy you</w:t>
      </w:r>
    </w:p>
    <w:p>
      <w:pPr>
        <w:spacing w:after="160" w:line="300"/>
        <w:jc w:val="left"/>
      </w:pPr>
      <w:r>
        <w:t xml:space="preserve">You do not need to go hunting for a bigger idea. The gaps are already sitting in your own Future Work section. They are not equal, though, and you mis-ranked them. Here is the ranking that matters, with the reasoning.</w:t>
      </w:r>
    </w:p>
    <w:p>
      <w:pPr>
        <w:pStyle w:val="Heading2"/>
        <w:spacing w:after="120" w:before="260"/>
      </w:pPr>
      <w:r>
        <w:t xml:space="preserve">First: cross-model comparison — the one that becomes its own paper</w:t>
      </w:r>
    </w:p>
    <w:p>
      <w:pPr>
        <w:spacing w:after="160" w:line="300"/>
        <w:jc w:val="left"/>
      </w:pPr>
      <w:r>
        <w:t xml:space="preserve">This is the most alignment-relevant extension by a wide margin. Right now you have one model, so every pattern you found could be a fact about </w:t>
      </w:r>
      <w:r>
        <w:rPr>
          <w:i/>
          <w:iCs/>
        </w:rPr>
        <w:t xml:space="preserve">language</w:t>
      </w:r>
      <w:r>
        <w:t xml:space="preserve">, a fact about </w:t>
      </w:r>
      <w:r>
        <w:rPr>
          <w:i/>
          <w:iCs/>
        </w:rPr>
        <w:t xml:space="preserve">transformers in general</w:t>
      </w:r>
      <w:r>
        <w:t xml:space="preserve">, or a fact about </w:t>
      </w:r>
      <w:r>
        <w:rPr>
          <w:i/>
          <w:iCs/>
        </w:rPr>
        <w:t xml:space="preserve">how Claude Haiku specifically was trained and aligned</w:t>
      </w:r>
      <w:r>
        <w:t xml:space="preserve">. Those are three completely different claims. The moment you run GPT-4o and Gemini Flash through the identical harness, you can begin to separate them.</w:t>
      </w:r>
    </w:p>
    <w:p>
      <w:pPr>
        <w:spacing w:after="160" w:line="300"/>
        <w:jc w:val="left"/>
      </w:pPr>
      <w:r>
        <w:t xml:space="preserve">If all models compress identically, that points to language or architecture. But if the compression patterns differ — if abstention thresholds differ, if the </w:t>
      </w:r>
      <w:r>
        <w:rPr>
          <w:b/>
          <w:bCs/>
        </w:rPr>
        <w:t xml:space="preserve">drastically/dramatically</w:t>
      </w:r>
      <w:r>
        <w:t xml:space="preserve"> discontinuity sits in a different place — then you have shown something genuinely important: </w:t>
      </w:r>
      <w:r>
        <w:rPr>
          <w:b/>
          <w:bCs/>
        </w:rPr>
        <w:t xml:space="preserve">that the alignment and RLHF pipeline leaves a measurable behavioral fingerprint on how a model translates vague human intent into action.</w:t>
      </w:r>
      <w:r>
        <w:t xml:space="preserve"> That is a result about alignment </w:t>
      </w:r>
      <w:r>
        <w:rPr>
          <w:i/>
          <w:iCs/>
        </w:rPr>
        <w:t xml:space="preserve">procedures</w:t>
      </w:r>
      <w:r>
        <w:t xml:space="preserve">, directly. And it is reachable with the harness you already built. You change the endpoint and the model string. The intellectual infrastructure is done.</w:t>
      </w:r>
    </w:p>
    <w:p>
      <w:pPr>
        <w:pStyle w:val="Heading2"/>
        <w:spacing w:after="120" w:before="260"/>
      </w:pPr>
      <w:r>
        <w:t xml:space="preserve">Second: the human baseline survey — the falsification step</w:t>
      </w:r>
    </w:p>
    <w:p>
      <w:pPr>
        <w:spacing w:after="160" w:line="300"/>
        <w:jc w:val="left"/>
      </w:pPr>
      <w:r>
        <w:t xml:space="preserve">This matters for a subtler reason than raw alignment-relevance: it is load-bearing for the </w:t>
      </w:r>
      <w:r>
        <w:rPr>
          <w:i/>
          <w:iCs/>
        </w:rPr>
        <w:t xml:space="preserve">meaning</w:t>
      </w:r>
      <w:r>
        <w:t xml:space="preserve"> of your existing claims. Without it, your central claim has an unfalsified competing explanation — maybe the model compresses </w:t>
      </w:r>
      <w:r>
        <w:rPr>
          <w:b/>
          <w:bCs/>
        </w:rPr>
        <w:t xml:space="preserve">slightly / marginally / somewhat / mildly</w:t>
      </w:r>
      <w:r>
        <w:t xml:space="preserve"> because </w:t>
      </w:r>
      <w:r>
        <w:rPr>
          <w:i/>
          <w:iCs/>
        </w:rPr>
        <w:t xml:space="preserve">humans</w:t>
      </w:r>
      <w:r>
        <w:t xml:space="preserve"> do too, in which case the model is faithfully aligned to genuine human ambiguity and there is no gap at all. The survey is what lets you say whether you found a misalignment or just an accurate model of a fuzzy concept. It is the step that decides whether you have an alignment finding at all. IRB is already in preparation; this is genuinely the next move.</w:t>
      </w:r>
    </w:p>
    <w:p>
      <w:pPr>
        <w:pStyle w:val="Heading2"/>
        <w:spacing w:after="120" w:before="260"/>
      </w:pPr>
      <w:r>
        <w:t xml:space="preserve">Third: the no-word control — cheap, and it patches a hole an interviewer finds in seconds</w:t>
      </w:r>
    </w:p>
    <w:p>
      <w:pPr>
        <w:spacing w:after="160" w:line="300"/>
        <w:jc w:val="left"/>
      </w:pPr>
      <w:r>
        <w:t xml:space="preserve">Right now “0.50 is a hedge” cannot be distinguished from “0.50 is just the model’s default for any increase request.” One condition — an increase instruction with no intensity modifier — fixes that. It is nearly free. Shipping it shows you can find the holes in your own argument before someone else does, which is itself the signal.</w:t>
      </w:r>
    </w:p>
    <w:p>
      <w:pPr>
        <w:pStyle w:val="Heading2"/>
        <w:spacing w:after="120" w:before="260"/>
      </w:pPr>
      <w:r>
        <w:t xml:space="preserve">Fourth: the partial-context condition (Tier 3) — more than it looks</w:t>
      </w:r>
    </w:p>
    <w:p>
      <w:pPr>
        <w:spacing w:after="160" w:line="300"/>
        <w:jc w:val="left"/>
      </w:pPr>
      <w:r>
        <w:t xml:space="preserve">This asks whether the model reads system state on its own, or only when state is handed to it in the prompt. That maps directly onto a real agentic-alignment question: does a model situationally adjust its actions based on the environment it can observe, or only on what is explicitly stated to it? That is squarely about how models behave when embedded in environments with autonomy — i.e. the systems you actually build.</w:t>
      </w:r>
    </w:p>
    <w:p>
      <w:pPr>
        <w:spacing w:after="160" w:line="300"/>
        <w:jc w:val="left"/>
      </w:pPr>
      <w:r>
        <w:t xml:space="preserve">Three of your five existing extensions are each pointed at a different facet of the same core alignment question. You do not have a “is this relevant enough” problem. You have a “I can’t yet see my own work the way the field sees it” problem. That is a vocabulary-and-confidence gap, not a substance gap, and it closes fast.</w:t>
      </w:r>
    </w:p>
    <w:p>
      <w:pPr>
        <w:pStyle w:val="Heading1"/>
        <w:pBdr>
          <w:bottom w:val="single" w:color="2E5A88" w:sz="6" w:space="4"/>
        </w:pBdr>
        <w:spacing w:after="160" w:before="360"/>
      </w:pPr>
      <w:r>
        <w:t xml:space="preserve">5. The narrative, in one breath</w:t>
      </w:r>
    </w:p>
    <w:p>
      <w:pPr>
        <w:spacing w:after="160" w:line="300"/>
        <w:jc w:val="left"/>
      </w:pPr>
      <w:r>
        <w:t xml:space="preserve">When you need to explain this work to someone in the field — or to yourself — say it like this:</w:t>
      </w:r>
    </w:p>
    <w:p>
      <w:pPr>
        <w:pBdr>
          <w:left w:val="single" w:color="2E5A88" w:sz="18" w:space="12"/>
        </w:pBdr>
        <w:spacing w:after="200" w:before="120" w:line="300"/>
        <w:ind w:left="480"/>
      </w:pPr>
      <w:r>
        <w:rPr>
          <w:i/>
          <w:iCs/>
          <w:color w:val="1A1A1A"/>
          <w:sz w:val="24"/>
          <w:szCs w:val="24"/>
        </w:rPr>
        <w:t xml:space="preserve">I built an autonomous planner on top of a production optimization engine, realized stakeholders couldn’t wield it safely, and measured why: vague natural-language instructions don’t map to stable actions. The model compresses distinct words into the same action, anchors on hidden system state more than on the words, and switches discontinuously between acting and refusing near constraint boundaries — all invisibly to the operator. The next step is showing whether that failure pattern is a fingerprint of the alignment pipeline itself, by running the identical protocol across models.</w:t>
      </w:r>
    </w:p>
    <w:p>
      <w:pPr>
        <w:spacing w:after="160" w:line="300"/>
        <w:jc w:val="left"/>
      </w:pPr>
      <w:r>
        <w:t xml:space="preserve">That is not a fun idea you had. That is a research program with a real origin, a measured first result, an honest account of its own limits, and a clear, fundable next step. The distance between what you did and what a frontier alignment team does is a distance of </w:t>
      </w:r>
      <w:r>
        <w:rPr>
          <w:b/>
          <w:bCs/>
        </w:rPr>
        <w:t xml:space="preserve">scale and framing</w:t>
      </w:r>
      <w:r>
        <w:t xml:space="preserve">, not of kind.</w:t>
      </w:r>
    </w:p>
    <w:p>
      <w:pPr>
        <w:pStyle w:val="Heading1"/>
        <w:pBdr>
          <w:bottom w:val="single" w:color="2E5A88" w:sz="6" w:space="4"/>
        </w:pBdr>
        <w:spacing w:after="160" w:before="360"/>
      </w:pPr>
      <w:r>
        <w:t xml:space="preserve">6. For the next time the doubt comes back</w:t>
      </w:r>
    </w:p>
    <w:p>
      <w:pPr>
        <w:pStyle w:val="ListParagraph"/>
        <w:numPr>
          <w:ilvl w:val="0"/>
          <w:numId w:val="2"/>
        </w:numPr>
        <w:spacing w:after="100" w:line="290"/>
      </w:pPr>
      <w:r>
        <w:t xml:space="preserve">The “not enough” feeling is taste outrunning output. It is the engine, not a verdict.</w:t>
      </w:r>
    </w:p>
    <w:p>
      <w:pPr>
        <w:pStyle w:val="ListParagraph"/>
        <w:numPr>
          <w:ilvl w:val="0"/>
          <w:numId w:val="2"/>
        </w:numPr>
        <w:spacing w:after="100" w:line="290"/>
      </w:pPr>
      <w:r>
        <w:t xml:space="preserve">You found a real safety failure inside a system </w:t>
      </w:r>
      <w:r>
        <w:rPr>
          <w:b/>
          <w:bCs/>
        </w:rPr>
        <w:t xml:space="preserve">you built</w:t>
      </w:r>
      <w:r>
        <w:t xml:space="preserve">. That is the credential most applicants lack.</w:t>
      </w:r>
    </w:p>
    <w:p>
      <w:pPr>
        <w:pStyle w:val="ListParagraph"/>
        <w:numPr>
          <w:ilvl w:val="0"/>
          <w:numId w:val="2"/>
        </w:numPr>
        <w:spacing w:after="100" w:line="290"/>
      </w:pPr>
      <w:r>
        <w:t xml:space="preserve">Honesty about limitations is a feature of the work, not an apology for it. Your Limitations and Future Work sections are load-bearing.</w:t>
      </w:r>
    </w:p>
    <w:p>
      <w:pPr>
        <w:pStyle w:val="ListParagraph"/>
        <w:numPr>
          <w:ilvl w:val="0"/>
          <w:numId w:val="2"/>
        </w:numPr>
        <w:spacing w:after="100" w:line="290"/>
      </w:pPr>
      <w:r>
        <w:t xml:space="preserve">The gaps worth chasing are already in your paper. When you feel the urge to invent a brand-new direction, check whether you’re avoiding the grind of executing the ones already planned.</w:t>
      </w:r>
    </w:p>
    <w:p>
      <w:pPr>
        <w:pStyle w:val="ListParagraph"/>
        <w:numPr>
          <w:ilvl w:val="0"/>
          <w:numId w:val="2"/>
        </w:numPr>
        <w:spacing w:after="100" w:line="290"/>
      </w:pPr>
      <w:r>
        <w:t xml:space="preserve">Read the Anthropic Alignment Science blog posts for </w:t>
      </w:r>
      <w:r>
        <w:rPr>
          <w:i/>
          <w:iCs/>
        </w:rPr>
        <w:t xml:space="preserve">genre</w:t>
      </w:r>
      <w:r>
        <w:t xml:space="preserve">, not content. Watch how they frame a narrow measured behavior as an alignment result. You already made several of those moves without knowing they had names.</w:t>
      </w:r>
    </w:p>
    <w:p>
      <w:pPr>
        <w:pBdr>
          <w:top w:val="single" w:color="2E5A88" w:sz="6" w:space="6"/>
        </w:pBdr>
        <w:spacing w:after="0" w:before="320"/>
      </w:pPr>
      <w:r>
        <w:rPr>
          <w:i/>
          <w:iCs/>
          <w:color w:val="5A5A5A"/>
          <w:sz w:val="20"/>
          <w:szCs w:val="20"/>
        </w:rPr>
        <w:t xml:space="preserve">You have something real here. It isn’t just a fun idea. Go execute the next slice.</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
    </w: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2E5A88"/>
      <w:sz w:val="30"/>
      <w:szCs w:val="30"/>
    </w:rPr>
  </w:style>
  <w:style w:type="paragraph" w:styleId="Heading2">
    <w:name w:val="Heading 2"/>
    <w:basedOn w:val="Normal"/>
    <w:next w:val="Normal"/>
    <w:qFormat/>
    <w:pPr>
      <w:spacing w:after="120" w:before="260"/>
      <w:outlineLvl w:val="1"/>
    </w:pPr>
    <w:rPr>
      <w:rFonts w:ascii="Georgia" w:cs="Georgia" w:eastAsia="Georgia" w:hAnsi="Georgia"/>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This Research Actually Is</dc:title>
  <dc:creator>Daniel Tabach</dc:creator>
  <cp:lastModifiedBy>Un-named</cp:lastModifiedBy>
  <cp:revision>1</cp:revision>
  <dcterms:created xsi:type="dcterms:W3CDTF">2026-06-02T22:15:37.072Z</dcterms:created>
  <dcterms:modified xsi:type="dcterms:W3CDTF">2026-06-02T22:15:37.072Z</dcterms:modified>
</cp:coreProperties>
</file>

<file path=docProps/custom.xml><?xml version="1.0" encoding="utf-8"?>
<Properties xmlns="http://schemas.openxmlformats.org/officeDocument/2006/custom-properties" xmlns:vt="http://schemas.openxmlformats.org/officeDocument/2006/docPropsVTypes"/>
</file>