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DE84" w14:textId="77777777" w:rsidR="00E17E1F" w:rsidRDefault="00000000">
      <w:pPr>
        <w:spacing w:before="200" w:after="40"/>
        <w:jc w:val="center"/>
      </w:pPr>
      <w:r>
        <w:rPr>
          <w:b/>
          <w:bCs/>
          <w:color w:val="1F3864"/>
          <w:sz w:val="40"/>
          <w:szCs w:val="40"/>
        </w:rPr>
        <w:t xml:space="preserve">MINUTA INTALNIRII</w:t>
      </w:r>
    </w:p>
    <w:p w14:paraId="1D197341" w14:textId="77777777" w:rsidR="00E17E1F" w:rsidRDefault="00000000">
      <w:pPr>
        <w:spacing w:after="60"/>
        <w:jc w:val="center"/>
      </w:pPr>
      <w:r>
        <w:rPr>
          <w:b/>
          <w:bCs/>
          <w:color w:val="2E5496"/>
          <w:sz w:val="26"/>
          <w:szCs w:val="26"/>
        </w:rPr>
        <w:t>F.05 – Minuta Intalnirii</w:t>
      </w:r>
    </w:p>
    <w:p w14:paraId="74673D7B" w14:textId="010A670F" w:rsidR="00E17E1F" w:rsidRDefault="00000000">
      <w:pPr>
        <w:pBdr>
          <w:bottom w:val="single" w:sz="12" w:space="6" w:color="C00000"/>
        </w:pBdr>
        <w:spacing w:after="240"/>
        <w:jc w:val="center"/>
      </w:pPr>
      <w:r>
        <w:rPr>
          <w:i/>
          <w:iCs/>
          <w:color w:val="595959"/>
          <w:sz w:val="22"/>
          <w:szCs w:val="22"/>
        </w:rPr>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E17E1F" w14:paraId="7C749A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10" w:type="dxa"/>
              <w:bottom w:w="60" w:type="dxa"/>
              <w:right w:w="110" w:type="dxa"/>
            </w:tcMar>
            <w:vAlign w:val="center"/>
          </w:tcPr>
          <w:p w14:paraId="37AE92B7" w14:textId="77777777" w:rsidR="00E17E1F" w:rsidRDefault="00000000">
            <w:r>
              <w:rPr>
                <w:b/>
                <w:bCs/>
                <w:color w:val="1F3864"/>
                <w:sz w:val="20"/>
                <w:szCs w:val="20"/>
              </w:rPr>
              <w:t xml:space="preserve">Cod Proiect</w:t>
            </w:r>
          </w:p>
        </w:tc>
        <w:tc>
          <w:tcPr>
            <w:tcW w:w="64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3F5A36" w14:textId="0720687E" w:rsidR="00E17E1F" w:rsidRDefault="00E17E1F">
            <w:r/>
          </w:p>
        </w:tc>
      </w:tr>
      <w:tr w:rsidR="00E17E1F" w14:paraId="7C749A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10" w:type="dxa"/>
              <w:bottom w:w="60" w:type="dxa"/>
              <w:right w:w="110" w:type="dxa"/>
            </w:tcMar>
            <w:vAlign w:val="center"/>
          </w:tcPr>
          <w:p w14:paraId="37AE92B7" w14:textId="77777777" w:rsidR="00E17E1F" w:rsidRDefault="00000000">
            <w:r>
              <w:rPr>
                <w:b/>
                <w:bCs/>
                <w:color w:val="1F3864"/>
                <w:sz w:val="20"/>
                <w:szCs w:val="20"/>
              </w:rPr>
              <w:t xml:space="preserve">Nume Client</w:t>
            </w:r>
          </w:p>
        </w:tc>
        <w:tc>
          <w:tcPr>
            <w:tcW w:w="64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3F5A36" w14:textId="0720687E" w:rsidR="00E17E1F" w:rsidRDefault="00E17E1F">
            <w:r/>
          </w:p>
        </w:tc>
      </w:tr>
      <w:tr w:rsidR="00E17E1F" w14:paraId="7C749A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10" w:type="dxa"/>
              <w:bottom w:w="60" w:type="dxa"/>
              <w:right w:w="110" w:type="dxa"/>
            </w:tcMar>
            <w:vAlign w:val="center"/>
          </w:tcPr>
          <w:p w14:paraId="37AE92B7" w14:textId="77777777" w:rsidR="00E17E1F" w:rsidRDefault="00000000">
            <w:r>
              <w:rPr>
                <w:b/>
                <w:bCs/>
                <w:color w:val="1F3864"/>
                <w:sz w:val="20"/>
                <w:szCs w:val="20"/>
              </w:rPr>
              <w:t xml:space="preserve">Numar Contract / Data</w:t>
            </w:r>
          </w:p>
        </w:tc>
        <w:tc>
          <w:tcPr>
            <w:tcW w:w="64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3F5A36" w14:textId="0720687E" w:rsidR="00E17E1F" w:rsidRDefault="00E17E1F">
            <w:r/>
          </w:p>
        </w:tc>
      </w:tr>
      <w:tr w:rsidR="00E17E1F" w14:paraId="7C749A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10" w:type="dxa"/>
              <w:bottom w:w="60" w:type="dxa"/>
              <w:right w:w="110" w:type="dxa"/>
            </w:tcMar>
            <w:vAlign w:val="center"/>
          </w:tcPr>
          <w:p w14:paraId="37AE92B7" w14:textId="77777777" w:rsidR="00E17E1F" w:rsidRDefault="00000000">
            <w:r>
              <w:rPr>
                <w:b/>
                <w:bCs/>
                <w:color w:val="1F3864"/>
                <w:sz w:val="20"/>
                <w:szCs w:val="20"/>
              </w:rPr>
              <w:t xml:space="preserve">Subiect</w:t>
            </w:r>
          </w:p>
        </w:tc>
        <w:tc>
          <w:tcPr>
            <w:tcW w:w="64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3F5A36" w14:textId="0720687E" w:rsidR="00E17E1F" w:rsidRDefault="00E17E1F">
            <w:r/>
          </w:p>
        </w:tc>
      </w:tr>
      <w:tr w:rsidR="00E17E1F" w14:paraId="7C749A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10" w:type="dxa"/>
              <w:bottom w:w="60" w:type="dxa"/>
              <w:right w:w="110" w:type="dxa"/>
            </w:tcMar>
            <w:vAlign w:val="center"/>
          </w:tcPr>
          <w:p w14:paraId="37AE92B7" w14:textId="77777777" w:rsidR="00E17E1F" w:rsidRDefault="00000000">
            <w:r>
              <w:rPr>
                <w:b/>
                <w:bCs/>
                <w:color w:val="1F3864"/>
                <w:sz w:val="20"/>
                <w:szCs w:val="20"/>
              </w:rPr>
              <w:t xml:space="preserve">Initiator</w:t>
            </w:r>
          </w:p>
        </w:tc>
        <w:tc>
          <w:tcPr>
            <w:tcW w:w="64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3F5A36" w14:textId="0720687E" w:rsidR="00E17E1F" w:rsidRDefault="00E17E1F">
            <w:r/>
          </w:p>
        </w:tc>
      </w:tr>
      <w:tr w:rsidR="00E17E1F" w14:paraId="7C749A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10" w:type="dxa"/>
              <w:bottom w:w="60" w:type="dxa"/>
              <w:right w:w="110" w:type="dxa"/>
            </w:tcMar>
            <w:vAlign w:val="center"/>
          </w:tcPr>
          <w:p w14:paraId="37AE92B7" w14:textId="77777777" w:rsidR="00E17E1F" w:rsidRDefault="00000000">
            <w:r>
              <w:rPr>
                <w:b/>
                <w:bCs/>
                <w:color w:val="1F3864"/>
                <w:sz w:val="20"/>
                <w:szCs w:val="20"/>
              </w:rPr>
              <w:t xml:space="preserve">Participanti</w:t>
            </w:r>
          </w:p>
        </w:tc>
        <w:tc>
          <w:tcPr>
            <w:tcW w:w="64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3F5A36" w14:textId="0720687E" w:rsidR="00E17E1F" w:rsidRDefault="00E17E1F">
            <w:r/>
          </w:p>
        </w:tc>
      </w:tr>
      <w:tr w:rsidR="00E17E1F" w14:paraId="7C749A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10" w:type="dxa"/>
              <w:bottom w:w="60" w:type="dxa"/>
              <w:right w:w="110" w:type="dxa"/>
            </w:tcMar>
            <w:vAlign w:val="center"/>
          </w:tcPr>
          <w:p w14:paraId="37AE92B7" w14:textId="77777777" w:rsidR="00E17E1F" w:rsidRDefault="00000000">
            <w:r>
              <w:rPr>
                <w:b/>
                <w:bCs/>
                <w:color w:val="1F3864"/>
                <w:sz w:val="20"/>
                <w:szCs w:val="20"/>
              </w:rPr>
              <w:t xml:space="preserve">Distribuit catre</w:t>
            </w:r>
          </w:p>
        </w:tc>
        <w:tc>
          <w:tcPr>
            <w:tcW w:w="64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3F5A36" w14:textId="0720687E" w:rsidR="00E17E1F" w:rsidRDefault="00E17E1F">
            <w:r/>
          </w:p>
        </w:tc>
      </w:tr>
      <w:tr w:rsidR="00E17E1F" w14:paraId="7C749A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10" w:type="dxa"/>
              <w:bottom w:w="60" w:type="dxa"/>
              <w:right w:w="110" w:type="dxa"/>
            </w:tcMar>
            <w:vAlign w:val="center"/>
          </w:tcPr>
          <w:p w14:paraId="37AE92B7" w14:textId="77777777" w:rsidR="00E17E1F" w:rsidRDefault="00000000">
            <w:r>
              <w:rPr>
                <w:b/>
                <w:bCs/>
                <w:color w:val="1F3864"/>
                <w:sz w:val="20"/>
                <w:szCs w:val="20"/>
              </w:rPr>
              <w:t xml:space="preserve">Locatia</w:t>
            </w:r>
          </w:p>
        </w:tc>
        <w:tc>
          <w:tcPr>
            <w:tcW w:w="64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3F5A36" w14:textId="0720687E" w:rsidR="00E17E1F" w:rsidRDefault="00E17E1F">
            <w:r/>
          </w:p>
        </w:tc>
      </w:tr>
      <w:tr w:rsidR="00E17E1F" w14:paraId="7C749A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10" w:type="dxa"/>
              <w:bottom w:w="60" w:type="dxa"/>
              <w:right w:w="110" w:type="dxa"/>
            </w:tcMar>
            <w:vAlign w:val="center"/>
          </w:tcPr>
          <w:p w14:paraId="37AE92B7" w14:textId="77777777" w:rsidR="00E17E1F" w:rsidRDefault="00000000">
            <w:r>
              <w:rPr>
                <w:b/>
                <w:bCs/>
                <w:color w:val="1F3864"/>
                <w:sz w:val="20"/>
                <w:szCs w:val="20"/>
              </w:rPr>
              <w:t xml:space="preserve">Data intalnirii</w:t>
            </w:r>
          </w:p>
        </w:tc>
        <w:tc>
          <w:tcPr>
            <w:tcW w:w="64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3F5A36" w14:textId="0720687E" w:rsidR="00E17E1F" w:rsidRDefault="00E17E1F">
            <w:r/>
          </w:p>
        </w:tc>
      </w:tr>
      <w:tr w:rsidR="00E17E1F" w14:paraId="7C749A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10" w:type="dxa"/>
              <w:bottom w:w="60" w:type="dxa"/>
              <w:right w:w="110" w:type="dxa"/>
            </w:tcMar>
            <w:vAlign w:val="center"/>
          </w:tcPr>
          <w:p w14:paraId="37AE92B7" w14:textId="77777777" w:rsidR="00E17E1F" w:rsidRDefault="00000000">
            <w:r>
              <w:rPr>
                <w:b/>
                <w:bCs/>
                <w:color w:val="1F3864"/>
                <w:sz w:val="20"/>
                <w:szCs w:val="20"/>
              </w:rPr>
              <w:t xml:space="preserve">Durata</w:t>
            </w:r>
          </w:p>
        </w:tc>
        <w:tc>
          <w:tcPr>
            <w:tcW w:w="64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3F5A36" w14:textId="0720687E" w:rsidR="00E17E1F" w:rsidRDefault="00E17E1F">
            <w:r/>
          </w:p>
        </w:tc>
      </w:tr>
    </w:tbl>
    <w:p>
      <w:pPr>
        <w:pBdr>
          <w:bottom w:val="single" w:sz="10" w:space="4" w:color="1F3864"/>
        </w:pBdr>
        <w:keepNext/>
        <w:spacing w:before="280" w:after="140"/>
      </w:pPr>
      <w:r>
        <w:rPr>
          <w:b/>
          <w:color w:val="1F3864"/>
          <w:sz w:val="26"/>
          <w:lang w:val="ro-RO"/>
        </w:rPr>
        <w:t>1. Context și scop</w:t>
      </w:r>
    </w:p>
    <w:p>
      <w:pPr>
        <w:spacing w:after="60"/>
        <w:ind w:left="425" w:hanging="283"/>
      </w:pPr>
      <w:r>
        <w:rPr>
          <w:lang w:val="ro-RO"/>
        </w:rPr>
        <w:t>•</w:t>
        <w:tab/>
      </w:r>
      <w:r>
        <w:rPr>
          <w:lang w:val="ro-RO"/>
        </w:rPr>
        <w:t>Definirea cerințelor pentru modulul de management al flotei în platforma Charisma</w:t>
      </w:r>
    </w:p>
    <w:p>
      <w:pPr>
        <w:spacing w:after="60"/>
        <w:ind w:left="425" w:hanging="283"/>
      </w:pPr>
      <w:r>
        <w:rPr>
          <w:lang w:val="ro-RO"/>
        </w:rPr>
        <w:t>•</w:t>
        <w:tab/>
      </w:r>
      <w:r>
        <w:rPr>
          <w:lang w:val="ro-RO"/>
        </w:rPr>
        <w:t>Stabilirea pașilor de implementare și a livrabilelor pentru integrarea și raportare</w:t>
      </w:r>
    </w:p>
    <w:p>
      <w:pPr>
        <w:pBdr>
          <w:bottom w:val="single" w:sz="10" w:space="4" w:color="1F3864"/>
        </w:pBdr>
        <w:keepNext/>
        <w:spacing w:before="280" w:after="140"/>
      </w:pPr>
      <w:r>
        <w:rPr>
          <w:b/>
          <w:color w:val="1F3864"/>
          <w:sz w:val="26"/>
          <w:lang w:val="ro-RO"/>
        </w:rPr>
        <w:t>2. Managementul Flotei și Documente Vehicul</w:t>
      </w:r>
    </w:p>
    <w:p>
      <w:pPr>
        <w:spacing w:after="120"/>
      </w:pPr>
      <w:r>
        <w:rPr>
          <w:lang w:val="ro-RO"/>
        </w:rPr>
        <w:t>S-a prezentat structura completă a informațiilor despre vehicule, incluzând date generale, administrative și detalii tehnice. Au fost definite atributele obligatorii (serie motor, VIN, număr înmatriculare, model, tip motor) și cele opționale (înălțime, lățime, greutate, capacitate rezervor, putere, tensiune, capacitate baterie).</w:t>
      </w:r>
    </w:p>
    <w:tbl>
      <w:tblPr>
        <w:tblLayout w:type="fixed"/>
        <w:tblLook w:firstColumn="1" w:firstRow="1" w:lastColumn="0" w:lastRow="0" w:noHBand="0" w:noVBand="1" w:val="04A0"/>
        <w:tblW w:w="9638" w:type="dxa"/>
      </w:tblPr>
      <w:tblGrid>
        <w:gridCol w:w="3000"/>
        <w:gridCol w:w="6638"/>
      </w:tblGrid>
      <w:tr>
        <w:trPr>
          <w:tblHeader/>
        </w:trPr>
        <w:tc>
          <w:tcPr>
            <w:tcW w:type="dxa" w:w="4819"/>
            <w:shd w:val="clear" w:color="auto" w:fill="1F3864"/>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b/>
                <w:color w:val="FFFFFF"/>
                <w:sz w:val="20"/>
                <w:lang w:val="ro-RO"/>
              </w:rPr>
              <w:t>Atribut</w:t>
            </w:r>
          </w:p>
        </w:tc>
        <w:tc>
          <w:tcPr>
            <w:tcW w:type="dxa" w:w="4819"/>
            <w:shd w:val="clear" w:color="auto" w:fill="1F3864"/>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b/>
                <w:color w:val="FFFFFF"/>
                <w:sz w:val="20"/>
                <w:lang w:val="ro-RO"/>
              </w:rPr>
              <w:t>Tip</w:t>
            </w:r>
          </w:p>
        </w:tc>
      </w:tr>
      <w:tr>
        <w:tc>
          <w:tcPr>
            <w:tcW w:type="dxa" w:w="4819"/>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Serie motor</w:t>
            </w:r>
          </w:p>
        </w:tc>
        <w:tc>
          <w:tcPr>
            <w:tcW w:type="dxa" w:w="4819"/>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Obligatoriu</w:t>
            </w:r>
          </w:p>
        </w:tc>
      </w:tr>
      <w:tr>
        <w:tc>
          <w:tcPr>
            <w:tcW w:type="dxa" w:w="4819"/>
            <w:shd w:val="clear" w:color="auto" w:fill="F2F6FB"/>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VIN</w:t>
            </w:r>
          </w:p>
        </w:tc>
        <w:tc>
          <w:tcPr>
            <w:tcW w:type="dxa" w:w="4819"/>
            <w:shd w:val="clear" w:color="auto" w:fill="F2F6FB"/>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Obligatoriu</w:t>
            </w:r>
          </w:p>
        </w:tc>
      </w:tr>
      <w:tr>
        <w:tc>
          <w:tcPr>
            <w:tcW w:type="dxa" w:w="4819"/>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Număr înmatriculare</w:t>
            </w:r>
          </w:p>
        </w:tc>
        <w:tc>
          <w:tcPr>
            <w:tcW w:type="dxa" w:w="4819"/>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Obligatoriu</w:t>
            </w:r>
          </w:p>
        </w:tc>
      </w:tr>
      <w:tr>
        <w:tc>
          <w:tcPr>
            <w:tcW w:type="dxa" w:w="4819"/>
            <w:shd w:val="clear" w:color="auto" w:fill="F2F6FB"/>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Model</w:t>
            </w:r>
          </w:p>
        </w:tc>
        <w:tc>
          <w:tcPr>
            <w:tcW w:type="dxa" w:w="4819"/>
            <w:shd w:val="clear" w:color="auto" w:fill="F2F6FB"/>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Obligatoriu</w:t>
            </w:r>
          </w:p>
        </w:tc>
      </w:tr>
      <w:tr>
        <w:tc>
          <w:tcPr>
            <w:tcW w:type="dxa" w:w="4819"/>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Tip motor</w:t>
            </w:r>
          </w:p>
        </w:tc>
        <w:tc>
          <w:tcPr>
            <w:tcW w:type="dxa" w:w="4819"/>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Obligatoriu</w:t>
            </w:r>
          </w:p>
        </w:tc>
      </w:tr>
      <w:tr>
        <w:tc>
          <w:tcPr>
            <w:tcW w:type="dxa" w:w="4819"/>
            <w:shd w:val="clear" w:color="auto" w:fill="F2F6FB"/>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Înălțime</w:t>
            </w:r>
          </w:p>
        </w:tc>
        <w:tc>
          <w:tcPr>
            <w:tcW w:type="dxa" w:w="4819"/>
            <w:shd w:val="clear" w:color="auto" w:fill="F2F6FB"/>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Opțional</w:t>
            </w:r>
          </w:p>
        </w:tc>
      </w:tr>
      <w:tr>
        <w:tc>
          <w:tcPr>
            <w:tcW w:type="dxa" w:w="4819"/>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Lățime</w:t>
            </w:r>
          </w:p>
        </w:tc>
        <w:tc>
          <w:tcPr>
            <w:tcW w:type="dxa" w:w="4819"/>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Opțional</w:t>
            </w:r>
          </w:p>
        </w:tc>
      </w:tr>
      <w:tr>
        <w:tc>
          <w:tcPr>
            <w:tcW w:type="dxa" w:w="4819"/>
            <w:shd w:val="clear" w:color="auto" w:fill="F2F6FB"/>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Greutate</w:t>
            </w:r>
          </w:p>
        </w:tc>
        <w:tc>
          <w:tcPr>
            <w:tcW w:type="dxa" w:w="4819"/>
            <w:shd w:val="clear" w:color="auto" w:fill="F2F6FB"/>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
              <w:rPr>
                <w:lang w:val="ro-RO"/>
              </w:rPr>
              <w:t>Opțional</w:t>
            </w:r>
          </w:p>
        </w:tc>
      </w:tr>
    </w:tbl>
    <w:p>
      <w:pPr>
        <w:spacing w:after="80"/>
      </w:pPr>
    </w:p>
    <w:p>
      <w:pPr>
        <w:spacing w:after="60"/>
        <w:ind w:left="425" w:hanging="283"/>
      </w:pPr>
      <w:r>
        <w:rPr>
          <w:lang w:val="ro-RO"/>
        </w:rPr>
        <w:t>•</w:t>
        <w:tab/>
      </w:r>
      <w:r>
        <w:rPr>
          <w:lang w:val="ro-RO"/>
        </w:rPr>
        <w:t>Gestionarea contractelor de leasing și închirieri cu detalii despre furnizor, data achiziției și kilometri la achiziție</w:t>
      </w:r>
    </w:p>
    <w:p>
      <w:pPr>
        <w:spacing w:after="60"/>
        <w:ind w:left="425" w:hanging="283"/>
      </w:pPr>
      <w:r>
        <w:rPr>
          <w:lang w:val="ro-RO"/>
        </w:rPr>
        <w:t>•</w:t>
        <w:tab/>
      </w:r>
      <w:r>
        <w:rPr>
          <w:lang w:val="ro-RO"/>
        </w:rPr>
        <w:t>Documente și cheltuieli asociate vehiculului pot fi încărcate direct din ecranul vehicul sau din modulul de gestiune documente</w:t>
      </w:r>
    </w:p>
    <w:p>
      <w:pPr>
        <w:spacing w:after="60"/>
        <w:ind w:left="425" w:hanging="283"/>
      </w:pPr>
      <w:r>
        <w:rPr>
          <w:lang w:val="ro-RO"/>
        </w:rPr>
        <w:t>•</w:t>
        <w:tab/>
      </w:r>
      <w:r>
        <w:rPr>
          <w:lang w:val="ro-RO"/>
        </w:rPr>
        <w:t>Accesarea listelor de vehicule direct în sistem, fără necesitatea de e‑mail</w:t>
      </w:r>
    </w:p>
    <w:p>
      <w:pPr>
        <w:pBdr>
          <w:bottom w:val="single" w:sz="10" w:space="4" w:color="1F3864"/>
        </w:pBdr>
        <w:keepNext/>
        <w:spacing w:before="280" w:after="140"/>
      </w:pPr>
      <w:r>
        <w:rPr>
          <w:b/>
          <w:color w:val="1F3864"/>
          <w:sz w:val="26"/>
          <w:lang w:val="ro-RO"/>
        </w:rPr>
        <w:t>3. Planificare Service și Mentenanță</w:t>
      </w:r>
    </w:p>
    <w:p>
      <w:pPr>
        <w:spacing w:after="120"/>
      </w:pPr>
      <w:r>
        <w:rPr>
          <w:lang w:val="ro-RO"/>
        </w:rPr>
        <w:t>S-a stabilit un sistem de to‑do list pentru service preventiv, bazat pe kilometri sau ore, cu alerte pentru revizii, schimb de anvelope și ITPS. Șoferii vor avea acces doar la task‑urile relevante (ex. schimb anvelope, ITPS).</w:t>
      </w:r>
    </w:p>
    <w:p>
      <w:pPr>
        <w:spacing w:after="60"/>
        <w:ind w:left="425" w:hanging="283"/>
      </w:pPr>
      <w:r>
        <w:rPr>
          <w:lang w:val="ro-RO"/>
        </w:rPr>
        <w:t>•</w:t>
        <w:tab/>
      </w:r>
      <w:r>
        <w:rPr>
          <w:lang w:val="ro-RO"/>
        </w:rPr>
        <w:t>Planuri de service legate de fiecare vehicul, vizibile în lista de to‑do</w:t>
      </w:r>
    </w:p>
    <w:p>
      <w:pPr>
        <w:spacing w:after="60"/>
        <w:ind w:left="425" w:hanging="283"/>
      </w:pPr>
      <w:r>
        <w:rPr>
          <w:lang w:val="ro-RO"/>
        </w:rPr>
        <w:t>•</w:t>
        <w:tab/>
      </w:r>
      <w:r>
        <w:rPr>
          <w:lang w:val="ro-RO"/>
        </w:rPr>
        <w:t>Alertă prin e‑mail pentru revizii și expirarea documentelor (data sau kilometri)</w:t>
      </w:r>
    </w:p>
    <w:p>
      <w:pPr>
        <w:spacing w:after="60"/>
        <w:ind w:left="425" w:hanging="283"/>
      </w:pPr>
      <w:r>
        <w:rPr>
          <w:lang w:val="ro-RO"/>
        </w:rPr>
        <w:t>•</w:t>
        <w:tab/>
      </w:r>
      <w:r>
        <w:rPr>
          <w:lang w:val="ro-RO"/>
        </w:rPr>
        <w:t>Definirea seturilor de operații standard (ex. schimb ulei, tip filtru)</w:t>
      </w:r>
    </w:p>
    <w:p>
      <w:pPr>
        <w:keepNext/>
        <w:spacing w:before="180" w:after="100"/>
      </w:pPr>
      <w:r>
        <w:rPr>
          <w:b/>
          <w:color w:val="2E5496"/>
          <w:sz w:val="23"/>
          <w:lang w:val="ro-RO"/>
        </w:rPr>
        <w:t>Gestionarea Anvelopelor</w:t>
      </w:r>
    </w:p>
    <w:p>
      <w:pPr>
        <w:spacing w:after="60"/>
        <w:ind w:left="425" w:hanging="283"/>
      </w:pPr>
      <w:r>
        <w:rPr>
          <w:lang w:val="ro-RO"/>
        </w:rPr>
        <w:t>•</w:t>
        <w:tab/>
      </w:r>
      <w:r>
        <w:rPr>
          <w:lang w:val="ro-RO"/>
        </w:rPr>
        <w:t>Inventar de anvelope (vară, iarnă, stoc în mașină)</w:t>
      </w:r>
    </w:p>
    <w:p>
      <w:pPr>
        <w:spacing w:after="60"/>
        <w:ind w:left="425" w:hanging="283"/>
      </w:pPr>
      <w:r>
        <w:rPr>
          <w:lang w:val="ro-RO"/>
        </w:rPr>
        <w:t>•</w:t>
        <w:tab/>
      </w:r>
      <w:r>
        <w:rPr>
          <w:lang w:val="ro-RO"/>
        </w:rPr>
        <w:t>Ecran pentru monitorizarea anvelopelor montate și costurile asociate</w:t>
      </w:r>
    </w:p>
    <w:p>
      <w:pPr>
        <w:pBdr>
          <w:bottom w:val="single" w:sz="10" w:space="4" w:color="1F3864"/>
        </w:pBdr>
        <w:keepNext/>
        <w:spacing w:before="280" w:after="140"/>
      </w:pPr>
      <w:r>
        <w:rPr>
          <w:b/>
          <w:color w:val="1F3864"/>
          <w:sz w:val="26"/>
          <w:lang w:val="ro-RO"/>
        </w:rPr>
        <w:t>4. Importuri și Integrații de Date</w:t>
      </w:r>
    </w:p>
    <w:p>
      <w:pPr>
        <w:spacing w:after="120"/>
      </w:pPr>
      <w:r>
        <w:rPr>
          <w:lang w:val="ro-RO"/>
        </w:rPr>
        <w:t>Au fost discutate multiple tipuri de importuri: vehicule, devize, anvelope, consum combustibil (Lukoil, OMV, Petrom) și servicii de spălare auto. Toate importurile vor respecta câmpurile obligatorii marcate în ecrane.</w:t>
      </w:r>
    </w:p>
    <w:p>
      <w:pPr>
        <w:spacing w:after="60"/>
        <w:ind w:left="425" w:hanging="283"/>
      </w:pPr>
      <w:r>
        <w:rPr>
          <w:lang w:val="ro-RO"/>
        </w:rPr>
        <w:t>•</w:t>
        <w:tab/>
      </w:r>
      <w:r>
        <w:rPr>
          <w:lang w:val="ro-RO"/>
        </w:rPr>
        <w:t>Import masiv de vehicule din Excel pentru a evita introducerea manuală</w:t>
      </w:r>
    </w:p>
    <w:p>
      <w:pPr>
        <w:spacing w:after="60"/>
        <w:ind w:left="425" w:hanging="283"/>
      </w:pPr>
      <w:r>
        <w:rPr>
          <w:lang w:val="ro-RO"/>
        </w:rPr>
        <w:t>•</w:t>
        <w:tab/>
      </w:r>
      <w:r>
        <w:rPr>
          <w:lang w:val="ro-RO"/>
        </w:rPr>
        <w:t>Import de devize și seturi de anvelope din Excel</w:t>
      </w:r>
    </w:p>
    <w:p>
      <w:pPr>
        <w:spacing w:after="60"/>
        <w:ind w:left="425" w:hanging="283"/>
      </w:pPr>
      <w:r>
        <w:rPr>
          <w:lang w:val="ro-RO"/>
        </w:rPr>
        <w:t>•</w:t>
        <w:tab/>
      </w:r>
      <w:r>
        <w:rPr>
          <w:lang w:val="ro-RO"/>
        </w:rPr>
        <w:t>Integrare cu Robi pentru transmitere automată a trei elemente cheie</w:t>
      </w:r>
    </w:p>
    <w:p>
      <w:pPr>
        <w:pBdr>
          <w:bottom w:val="single" w:sz="10" w:space="4" w:color="1F3864"/>
        </w:pBdr>
        <w:keepNext/>
        <w:spacing w:before="280" w:after="140"/>
      </w:pPr>
      <w:r>
        <w:rPr>
          <w:b/>
          <w:color w:val="1F3864"/>
          <w:sz w:val="26"/>
          <w:lang w:val="ro-RO"/>
        </w:rPr>
        <w:t>5. Gestionarea Utilizatorilor și Notificări</w:t>
      </w:r>
    </w:p>
    <w:p>
      <w:pPr>
        <w:spacing w:after="120"/>
      </w:pPr>
      <w:r>
        <w:rPr>
          <w:lang w:val="ro-RO"/>
        </w:rPr>
        <w:t>S-a definit modelul de drepturi de acces pe grupuri (ex. șoferi, manageri). Utilizatorii pot încărca atașamente (ex. poză talon) vizibile doar pentru ei. În prezent lipsesc funcționalitățile de mesagerie în masă, dar se propune dezvoltarea ulterioară.</w:t>
      </w:r>
    </w:p>
    <w:p>
      <w:pPr>
        <w:spacing w:after="60"/>
        <w:ind w:left="425" w:hanging="283"/>
      </w:pPr>
      <w:r>
        <w:rPr>
          <w:lang w:val="ro-RO"/>
        </w:rPr>
        <w:t>•</w:t>
        <w:tab/>
      </w:r>
      <w:r>
        <w:rPr>
          <w:lang w:val="ro-RO"/>
        </w:rPr>
        <w:t>Definirea drepturilor de acces pe grupuri de utilizatori</w:t>
      </w:r>
    </w:p>
    <w:p>
      <w:pPr>
        <w:spacing w:after="60"/>
        <w:ind w:left="425" w:hanging="283"/>
      </w:pPr>
      <w:r>
        <w:rPr>
          <w:lang w:val="ro-RO"/>
        </w:rPr>
        <w:t>•</w:t>
        <w:tab/>
      </w:r>
      <w:r>
        <w:rPr>
          <w:lang w:val="ro-RO"/>
        </w:rPr>
        <w:t>Posibilitatea de a încărca și vizualiza atașamente specifice (talon, documente)</w:t>
      </w:r>
    </w:p>
    <w:p>
      <w:pPr>
        <w:spacing w:after="60"/>
        <w:ind w:left="425" w:hanging="283"/>
      </w:pPr>
      <w:r>
        <w:rPr>
          <w:lang w:val="ro-RO"/>
        </w:rPr>
        <w:t>•</w:t>
        <w:tab/>
      </w:r>
      <w:r>
        <w:rPr>
          <w:lang w:val="ro-RO"/>
        </w:rPr>
        <w:t xml:space="preserve">TBD: </w:t>
      </w:r>
      <w:r>
        <w:rPr>
          <w:b/>
          <w:lang w:val="ro-RO"/>
        </w:rPr>
        <w:t>Implementarea sistemului de mesaje/notificări către toți utilizatorii</w:t>
      </w:r>
    </w:p>
    <w:p>
      <w:pPr>
        <w:pBdr>
          <w:bottom w:val="single" w:sz="10" w:space="4" w:color="1F3864"/>
        </w:pBdr>
        <w:keepNext/>
        <w:spacing w:before="280" w:after="140"/>
      </w:pPr>
      <w:r>
        <w:rPr>
          <w:b/>
          <w:color w:val="1F3864"/>
          <w:sz w:val="26"/>
          <w:lang w:val="ro-RO"/>
        </w:rPr>
        <w:t>6. Raportare și Analitice</w:t>
      </w:r>
    </w:p>
    <w:p>
      <w:pPr>
        <w:spacing w:after="120"/>
      </w:pPr>
      <w:r>
        <w:rPr>
          <w:lang w:val="ro-RO"/>
        </w:rPr>
        <w:t>Sistemul oferă rapoarte standard (ex. cheltuieli Samsung) și permite crearea de rapoarte personalizate la cerere. Se propune un ecran care corelează alimentările cu kilometri și rapoarte segmentate pentru costuri și consum.</w:t>
      </w:r>
    </w:p>
    <w:p>
      <w:pPr>
        <w:spacing w:after="60"/>
        <w:ind w:left="425" w:hanging="283"/>
      </w:pPr>
      <w:r>
        <w:rPr>
          <w:lang w:val="ro-RO"/>
        </w:rPr>
        <w:t>•</w:t>
        <w:tab/>
      </w:r>
      <w:r>
        <w:rPr>
          <w:lang w:val="ro-RO"/>
        </w:rPr>
        <w:t>Rapoarte standard și posibilitatea de a crea rapoarte distincte la cerere</w:t>
      </w:r>
    </w:p>
    <w:p>
      <w:pPr>
        <w:spacing w:after="60"/>
        <w:ind w:left="425" w:hanging="283"/>
      </w:pPr>
      <w:r>
        <w:rPr>
          <w:lang w:val="ro-RO"/>
        </w:rPr>
        <w:t>•</w:t>
        <w:tab/>
      </w:r>
      <w:r>
        <w:rPr>
          <w:lang w:val="ro-RO"/>
        </w:rPr>
        <w:t>Ecran pentru alimentări versus kilometri</w:t>
      </w:r>
    </w:p>
    <w:p>
      <w:pPr>
        <w:spacing w:after="60"/>
        <w:ind w:left="425" w:hanging="283"/>
      </w:pPr>
      <w:r>
        <w:rPr>
          <w:lang w:val="ro-RO"/>
        </w:rPr>
        <w:t>•</w:t>
        <w:tab/>
      </w:r>
      <w:r>
        <w:rPr>
          <w:lang w:val="ro-RO"/>
        </w:rPr>
        <w:t>Tabul de cheltuieli Samsung și alte rapoarte segmentate</w:t>
      </w:r>
    </w:p>
    <w:p>
      <w:pPr>
        <w:pBdr>
          <w:bottom w:val="single" w:sz="10" w:space="4" w:color="1F3864"/>
        </w:pBdr>
        <w:keepNext/>
        <w:spacing w:before="280" w:after="140"/>
      </w:pPr>
      <w:r>
        <w:rPr>
          <w:b/>
          <w:color w:val="1F3864"/>
          <w:sz w:val="26"/>
          <w:lang w:val="ro-RO"/>
        </w:rPr>
        <w:t>7. Pași următori</w:t>
      </w:r>
    </w:p>
    <w:p>
      <w:pPr>
        <w:spacing w:after="60"/>
        <w:ind w:left="425" w:hanging="283"/>
      </w:pPr>
      <w:r>
        <w:rPr>
          <w:lang w:val="ro-RO"/>
        </w:rPr>
        <w:t>1.</w:t>
        <w:tab/>
      </w:r>
      <w:r>
        <w:rPr>
          <w:lang w:val="ro-RO"/>
        </w:rPr>
        <w:t>Sabina Custura: primește oferta de la Tallinn</w:t>
      </w:r>
    </w:p>
    <w:p>
      <w:pPr>
        <w:spacing w:after="60"/>
        <w:ind w:left="425" w:hanging="283"/>
      </w:pPr>
      <w:r>
        <w:rPr>
          <w:lang w:val="ro-RO"/>
        </w:rPr>
        <w:t>2.</w:t>
        <w:tab/>
      </w:r>
      <w:r>
        <w:rPr>
          <w:lang w:val="ro-RO"/>
        </w:rPr>
        <w:t>Catalin Florea: discută intern și revine cu propunere comercială</w:t>
      </w:r>
    </w:p>
    <w:p>
      <w:pPr>
        <w:spacing w:after="60"/>
        <w:ind w:left="425" w:hanging="283"/>
      </w:pPr>
      <w:r>
        <w:rPr>
          <w:lang w:val="ro-RO"/>
        </w:rPr>
        <w:t>3.</w:t>
        <w:tab/>
      </w:r>
      <w:r>
        <w:rPr>
          <w:lang w:val="ro-RO"/>
        </w:rPr>
        <w:t>TBD: dezvoltă funcționalitatea de mesaje/notificări către toți utilizatorii</w:t>
      </w:r>
    </w:p>
    <w:p>
      <w:pPr>
        <w:spacing w:after="60"/>
        <w:ind w:left="425" w:hanging="283"/>
      </w:pPr>
      <w:r>
        <w:rPr>
          <w:lang w:val="ro-RO"/>
        </w:rPr>
        <w:t>4.</w:t>
        <w:tab/>
      </w:r>
      <w:r>
        <w:rPr>
          <w:lang w:val="ro-RO"/>
        </w:rPr>
        <w:t>TBD: finalizează ecranul de raport alimentări vs kilometri</w:t>
      </w:r>
    </w:p>
    <w:sectPr w:rsidR="00341655">
      <w:headerReference w:type="default" r:id="rId7"/>
      <w:footerReference w:type="default" r:id="rId8"/>
      <w:pgSz w:w="11906" w:h="16838"/>
      <w:pgMar w:top="1418" w:right="1134" w:bottom="1134" w:left="1134"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D5A98" w14:textId="77777777" w:rsidR="00341655" w:rsidRDefault="00341655">
      <w:r>
        <w:separator/>
      </w:r>
    </w:p>
  </w:endnote>
  <w:endnote w:type="continuationSeparator" w:id="0">
    <w:p w14:paraId="6FA13724" w14:textId="77777777" w:rsidR="00341655" w:rsidRDefault="00341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47BD" w14:textId="77777777" w:rsidR="00E17E1F" w:rsidRDefault="00E17E1F">
    <w:pPr>
      <w:pBdr>
        <w:top w:val="single" w:sz="8" w:space="2" w:color="C00000"/>
      </w:pBdr>
      <w:spacing w:after="40"/>
    </w:pPr>
  </w:p>
  <w:tbl>
    <w:tblPr>
      <w:tblW w:w="9638" w:type="dxa"/>
      <w:tblCellMar>
        <w:left w:w="10" w:type="dxa"/>
        <w:right w:w="10" w:type="dxa"/>
      </w:tblCellMar>
      <w:tblLook w:val="0000" w:firstRow="0" w:lastRow="0" w:firstColumn="0" w:lastColumn="0" w:noHBand="0" w:noVBand="0"/>
    </w:tblPr>
    <w:tblGrid>
      <w:gridCol w:w="3000"/>
      <w:gridCol w:w="3838"/>
      <w:gridCol w:w="2800"/>
    </w:tblGrid>
    <w:tr w:rsidR="00E17E1F" w14:paraId="58F1F57C" w14:textId="77777777">
      <w:tblPrEx>
        <w:tblCellMar>
          <w:top w:w="0" w:type="dxa"/>
          <w:bottom w:w="0" w:type="dxa"/>
        </w:tblCellMar>
      </w:tblPrEx>
      <w:tc>
        <w:tcPr>
          <w:tcW w:w="3000" w:type="dxa"/>
          <w:vAlign w:val="center"/>
        </w:tcPr>
        <w:p w14:paraId="28E8E179" w14:textId="77777777" w:rsidR="00E17E1F" w:rsidRDefault="00000000">
          <w:r>
            <w:rPr>
              <w:noProof/>
            </w:rPr>
            <w:drawing>
              <wp:inline distT="0" distB="0" distL="0" distR="0" wp14:anchorId="57743219" wp14:editId="1FB2E038">
                <wp:extent cx="1143000" cy="180975"/>
                <wp:effectExtent l="0" t="0" r="0" b="0"/>
                <wp:docPr id="1820644806" name="Picture 182064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180975"/>
                        </a:xfrm>
                        <a:prstGeom prst="rect">
                          <a:avLst/>
                        </a:prstGeom>
                      </pic:spPr>
                    </pic:pic>
                  </a:graphicData>
                </a:graphic>
              </wp:inline>
            </w:drawing>
          </w:r>
        </w:p>
      </w:tc>
      <w:tc>
        <w:tcPr>
          <w:tcW w:w="3838" w:type="dxa"/>
          <w:vAlign w:val="center"/>
        </w:tcPr>
        <w:p w14:paraId="091EA133" w14:textId="77777777" w:rsidR="00E17E1F" w:rsidRDefault="00000000">
          <w:pPr>
            <w:jc w:val="center"/>
          </w:pPr>
          <w:r>
            <w:rPr>
              <w:color w:val="595959"/>
              <w:sz w:val="14"/>
              <w:szCs w:val="14"/>
            </w:rPr>
            <w:t>Minuta Intalnirii</w:t>
          </w:r>
        </w:p>
      </w:tc>
      <w:tc>
        <w:tcPr>
          <w:tcW w:w="2800" w:type="dxa"/>
          <w:vAlign w:val="center"/>
        </w:tcPr>
        <w:p w14:paraId="771AC484" w14:textId="77777777" w:rsidR="00E17E1F" w:rsidRDefault="00000000">
          <w:pPr>
            <w:jc w:val="right"/>
          </w:pPr>
          <w:r>
            <w:rPr>
              <w:color w:val="595959"/>
              <w:sz w:val="16"/>
              <w:szCs w:val="16"/>
            </w:rPr>
            <w:t xml:space="preserve">Pag. </w:t>
          </w:r>
          <w:r>
            <w:rPr>
              <w:color w:val="595959"/>
              <w:sz w:val="16"/>
              <w:szCs w:val="16"/>
            </w:rPr>
            <w:fldChar w:fldCharType="begin"/>
          </w:r>
          <w:r>
            <w:rPr>
              <w:color w:val="595959"/>
              <w:sz w:val="16"/>
              <w:szCs w:val="16"/>
            </w:rPr>
            <w:instrText>PAGE</w:instrText>
          </w:r>
          <w:r>
            <w:rPr>
              <w:color w:val="595959"/>
              <w:sz w:val="16"/>
              <w:szCs w:val="16"/>
            </w:rPr>
            <w:fldChar w:fldCharType="separate"/>
          </w:r>
          <w:r w:rsidR="00EF799B">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EF799B">
            <w:rPr>
              <w:noProof/>
              <w:color w:val="595959"/>
              <w:sz w:val="16"/>
              <w:szCs w:val="16"/>
            </w:rPr>
            <w:t>2</w:t>
          </w:r>
          <w:r>
            <w:rPr>
              <w:color w:val="595959"/>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9F0D1" w14:textId="77777777" w:rsidR="00341655" w:rsidRDefault="00341655">
      <w:r>
        <w:separator/>
      </w:r>
    </w:p>
  </w:footnote>
  <w:footnote w:type="continuationSeparator" w:id="0">
    <w:p w14:paraId="5B8F6B54" w14:textId="77777777" w:rsidR="00341655" w:rsidRDefault="00341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E649" w14:textId="77777777" w:rsidR="00E17E1F" w:rsidRDefault="00000000">
    <w:r>
      <w:rPr>
        <w:noProof/>
      </w:rPr>
      <w:drawing>
        <wp:inline distT="0" distB="0" distL="0" distR="0" wp14:anchorId="0BE35A1F" wp14:editId="2C0503EC">
          <wp:extent cx="190500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0" cy="266700"/>
                  </a:xfrm>
                  <a:prstGeom prst="rect">
                    <a:avLst/>
                  </a:prstGeom>
                </pic:spPr>
              </pic:pic>
            </a:graphicData>
          </a:graphic>
        </wp:inline>
      </w:drawing>
    </w:r>
  </w:p>
  <w:p w14:paraId="33BF3F42" w14:textId="77777777" w:rsidR="00E17E1F" w:rsidRDefault="00E17E1F">
    <w:pPr>
      <w:pBdr>
        <w:bottom w:val="single" w:sz="8" w:space="2" w:color="1F3864"/>
      </w:pBdr>
      <w:spacing w:before="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A1E32"/>
    <w:multiLevelType w:val="hybridMultilevel"/>
    <w:tmpl w:val="490491D0"/>
    <w:lvl w:ilvl="0" w:tplc="5DDEA79E">
      <w:start w:val="1"/>
      <w:numFmt w:val="bullet"/>
      <w:lvlText w:val="●"/>
      <w:lvlJc w:val="left"/>
      <w:pPr>
        <w:ind w:left="720" w:hanging="360"/>
      </w:pPr>
    </w:lvl>
    <w:lvl w:ilvl="1" w:tplc="CFC2EE64">
      <w:start w:val="1"/>
      <w:numFmt w:val="bullet"/>
      <w:lvlText w:val="○"/>
      <w:lvlJc w:val="left"/>
      <w:pPr>
        <w:ind w:left="1440" w:hanging="360"/>
      </w:pPr>
    </w:lvl>
    <w:lvl w:ilvl="2" w:tplc="01E400EA">
      <w:start w:val="1"/>
      <w:numFmt w:val="bullet"/>
      <w:lvlText w:val="■"/>
      <w:lvlJc w:val="left"/>
      <w:pPr>
        <w:ind w:left="2160" w:hanging="360"/>
      </w:pPr>
    </w:lvl>
    <w:lvl w:ilvl="3" w:tplc="89040384">
      <w:start w:val="1"/>
      <w:numFmt w:val="bullet"/>
      <w:lvlText w:val="●"/>
      <w:lvlJc w:val="left"/>
      <w:pPr>
        <w:ind w:left="2880" w:hanging="360"/>
      </w:pPr>
    </w:lvl>
    <w:lvl w:ilvl="4" w:tplc="2B500D80">
      <w:start w:val="1"/>
      <w:numFmt w:val="bullet"/>
      <w:lvlText w:val="○"/>
      <w:lvlJc w:val="left"/>
      <w:pPr>
        <w:ind w:left="3600" w:hanging="360"/>
      </w:pPr>
    </w:lvl>
    <w:lvl w:ilvl="5" w:tplc="2A72A8B2">
      <w:start w:val="1"/>
      <w:numFmt w:val="bullet"/>
      <w:lvlText w:val="■"/>
      <w:lvlJc w:val="left"/>
      <w:pPr>
        <w:ind w:left="4320" w:hanging="360"/>
      </w:pPr>
    </w:lvl>
    <w:lvl w:ilvl="6" w:tplc="3E64F17E">
      <w:start w:val="1"/>
      <w:numFmt w:val="bullet"/>
      <w:lvlText w:val="●"/>
      <w:lvlJc w:val="left"/>
      <w:pPr>
        <w:ind w:left="5040" w:hanging="360"/>
      </w:pPr>
    </w:lvl>
    <w:lvl w:ilvl="7" w:tplc="237A6312">
      <w:start w:val="1"/>
      <w:numFmt w:val="bullet"/>
      <w:lvlText w:val="●"/>
      <w:lvlJc w:val="left"/>
      <w:pPr>
        <w:ind w:left="5760" w:hanging="360"/>
      </w:pPr>
    </w:lvl>
    <w:lvl w:ilvl="8" w:tplc="2916B180">
      <w:start w:val="1"/>
      <w:numFmt w:val="bullet"/>
      <w:lvlText w:val="●"/>
      <w:lvlJc w:val="left"/>
      <w:pPr>
        <w:ind w:left="6480" w:hanging="360"/>
      </w:pPr>
    </w:lvl>
  </w:abstractNum>
  <w:abstractNum w:abstractNumId="1" w15:restartNumberingAfterBreak="0">
    <w:nsid w:val="67F44B95"/>
    <w:multiLevelType w:val="hybridMultilevel"/>
    <w:tmpl w:val="B8A63FBC"/>
    <w:lvl w:ilvl="0" w:tplc="7D105194">
      <w:start w:val="1"/>
      <w:numFmt w:val="decimal"/>
      <w:lvlText w:val="%1."/>
      <w:lvlJc w:val="left"/>
      <w:pPr>
        <w:ind w:left="460" w:hanging="260"/>
      </w:pPr>
    </w:lvl>
    <w:lvl w:ilvl="1" w:tplc="212860C8">
      <w:numFmt w:val="decimal"/>
      <w:lvlText w:val=""/>
      <w:lvlJc w:val="left"/>
    </w:lvl>
    <w:lvl w:ilvl="2" w:tplc="64EE848A">
      <w:numFmt w:val="decimal"/>
      <w:lvlText w:val=""/>
      <w:lvlJc w:val="left"/>
    </w:lvl>
    <w:lvl w:ilvl="3" w:tplc="4844BB30">
      <w:numFmt w:val="decimal"/>
      <w:lvlText w:val=""/>
      <w:lvlJc w:val="left"/>
    </w:lvl>
    <w:lvl w:ilvl="4" w:tplc="A0B0F496">
      <w:numFmt w:val="decimal"/>
      <w:lvlText w:val=""/>
      <w:lvlJc w:val="left"/>
    </w:lvl>
    <w:lvl w:ilvl="5" w:tplc="D3E0DC40">
      <w:numFmt w:val="decimal"/>
      <w:lvlText w:val=""/>
      <w:lvlJc w:val="left"/>
    </w:lvl>
    <w:lvl w:ilvl="6" w:tplc="47865F00">
      <w:numFmt w:val="decimal"/>
      <w:lvlText w:val=""/>
      <w:lvlJc w:val="left"/>
    </w:lvl>
    <w:lvl w:ilvl="7" w:tplc="D9F8C2C2">
      <w:numFmt w:val="decimal"/>
      <w:lvlText w:val=""/>
      <w:lvlJc w:val="left"/>
    </w:lvl>
    <w:lvl w:ilvl="8" w:tplc="FF4006F4">
      <w:numFmt w:val="decimal"/>
      <w:lvlText w:val=""/>
      <w:lvlJc w:val="left"/>
    </w:lvl>
  </w:abstractNum>
  <w:abstractNum w:abstractNumId="2" w15:restartNumberingAfterBreak="0">
    <w:nsid w:val="73542955"/>
    <w:multiLevelType w:val="hybridMultilevel"/>
    <w:tmpl w:val="C8C277CE"/>
    <w:lvl w:ilvl="0" w:tplc="75D8593E">
      <w:start w:val="1"/>
      <w:numFmt w:val="bullet"/>
      <w:lvlText w:val="•"/>
      <w:lvlJc w:val="left"/>
      <w:pPr>
        <w:ind w:left="460" w:hanging="260"/>
      </w:pPr>
      <w:rPr>
        <w:color w:val="1F3864"/>
      </w:rPr>
    </w:lvl>
    <w:lvl w:ilvl="1" w:tplc="270AFA6C">
      <w:start w:val="1"/>
      <w:numFmt w:val="bullet"/>
      <w:lvlText w:val="–"/>
      <w:lvlJc w:val="left"/>
      <w:pPr>
        <w:ind w:left="920" w:hanging="260"/>
      </w:pPr>
    </w:lvl>
    <w:lvl w:ilvl="2" w:tplc="B8CE6038">
      <w:numFmt w:val="decimal"/>
      <w:lvlText w:val=""/>
      <w:lvlJc w:val="left"/>
    </w:lvl>
    <w:lvl w:ilvl="3" w:tplc="B9C40F76">
      <w:numFmt w:val="decimal"/>
      <w:lvlText w:val=""/>
      <w:lvlJc w:val="left"/>
    </w:lvl>
    <w:lvl w:ilvl="4" w:tplc="A3ECFC36">
      <w:numFmt w:val="decimal"/>
      <w:lvlText w:val=""/>
      <w:lvlJc w:val="left"/>
    </w:lvl>
    <w:lvl w:ilvl="5" w:tplc="39A87172">
      <w:numFmt w:val="decimal"/>
      <w:lvlText w:val=""/>
      <w:lvlJc w:val="left"/>
    </w:lvl>
    <w:lvl w:ilvl="6" w:tplc="A5C029FE">
      <w:numFmt w:val="decimal"/>
      <w:lvlText w:val=""/>
      <w:lvlJc w:val="left"/>
    </w:lvl>
    <w:lvl w:ilvl="7" w:tplc="38A0CF36">
      <w:numFmt w:val="decimal"/>
      <w:lvlText w:val=""/>
      <w:lvlJc w:val="left"/>
    </w:lvl>
    <w:lvl w:ilvl="8" w:tplc="FBAEE7CC">
      <w:numFmt w:val="decimal"/>
      <w:lvlText w:val=""/>
      <w:lvlJc w:val="left"/>
    </w:lvl>
  </w:abstractNum>
  <w:num w:numId="1" w16cid:durableId="1136685409">
    <w:abstractNumId w:val="0"/>
    <w:lvlOverride w:ilvl="0">
      <w:startOverride w:val="1"/>
    </w:lvlOverride>
  </w:num>
  <w:num w:numId="2" w16cid:durableId="489030258">
    <w:abstractNumId w:val="2"/>
    <w:lvlOverride w:ilvl="0">
      <w:startOverride w:val="1"/>
    </w:lvlOverride>
  </w:num>
  <w:num w:numId="3" w16cid:durableId="4241095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E1F"/>
    <w:rsid w:val="00341655"/>
    <w:rsid w:val="00A6617D"/>
    <w:rsid w:val="00E17E1F"/>
    <w:rsid w:val="00EF7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8F6C"/>
  <w15:docId w15:val="{1E0D9C2F-6CB3-448C-97CE-378E68D9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2155</Words>
  <Characters>12287</Characters>
  <Application>Microsoft Office Word</Application>
  <DocSecurity>0</DocSecurity>
  <Lines>102</Lines>
  <Paragraphs>28</Paragraphs>
  <ScaleCrop>false</ScaleCrop>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 Verbal de Predare - Postimplementare - ERP_ALPINLUX_PROD</dc:title>
  <dc:creator>Nastase Alexandru</dc:creator>
  <cp:lastModifiedBy>Alexandru Nastase</cp:lastModifiedBy>
  <cp:revision>2</cp:revision>
  <dcterms:created xsi:type="dcterms:W3CDTF">2026-06-04T14:23:00Z</dcterms:created>
  <dcterms:modified xsi:type="dcterms:W3CDTF">2026-06-10T11:44:00Z</dcterms:modified>
</cp:coreProperties>
</file>