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Context Proiect — pentru generarea minutelor</w:t>
      </w:r>
    </w:p>
    <w:p>
      <w:r>
        <w:rPr>
          <w:i/>
          <w:sz w:val="20"/>
        </w:rPr>
        <w:t>Completați o singură dată per proiect și reutilizați la fiecare ședință. Toate capitolele sunt opționale — completați doar ce vă e util; ce lăsați gol este ignorat. Nu ștergeți titlurile capitolelor.</w:t>
      </w:r>
    </w:p>
    <w:p>
      <w:pPr>
        <w:pStyle w:val="Heading1"/>
      </w:pPr>
      <w:r>
        <w:t>1. Proiect și client</w:t>
      </w:r>
    </w:p>
    <w:p>
      <w:r>
        <w:rPr>
          <w:i/>
          <w:color w:val="707070"/>
          <w:sz w:val="18"/>
        </w:rPr>
        <w:t>Apare în antetul minutei și ajută la denumirea corectă a părților.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Câmp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Valoare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Proiect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Cod proiect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Faza / etapa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Manager de proiect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2. Participanți recurenți</w:t>
      </w:r>
    </w:p>
    <w:p>
      <w:r>
        <w:rPr>
          <w:i/>
          <w:color w:val="707070"/>
          <w:sz w:val="18"/>
        </w:rPr>
        <w:t>Cea mai utilă secțiune: transcrierea dă doar nume, nu și rolul. Cu tabelul de mai jos, minuta atribuie corect responsabilitățile și scrie numele complet chiar dacă în transcriere apare prescurtat.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Nume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Organizație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3. Glosar și terminologie</w:t>
      </w:r>
    </w:p>
    <w:p>
      <w:r>
        <w:rPr>
          <w:i/>
          <w:color w:val="707070"/>
          <w:sz w:val="18"/>
        </w:rPr>
        <w:t>Termenii pe care transcrierea automată îi scrie greșit (module, abrevieri, denumiri de ecrane). Cu ei, minuta folosește forma corectă în loc să reproducă eroarea.</w:t>
      </w:r>
    </w:p>
    <w:p>
      <w:r>
        <w:rPr>
          <w:i/>
          <w:color w:val="707070"/>
          <w:sz w:val="18"/>
        </w:rPr>
        <w:t>Exemple: NIR = Notă de intrare-recepție · PVD = Proces verbal de diferențe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Termen / abreviere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Înseamnă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4. Scopul proiectului și module în lucru</w:t>
      </w:r>
    </w:p>
    <w:p>
      <w:r>
        <w:rPr>
          <w:i/>
          <w:color w:val="707070"/>
          <w:sz w:val="18"/>
        </w:rPr>
        <w:t>Ce se implementează și ce NU este în scop — ajută la separarea subiectelor.</w:t>
      </w:r>
    </w:p>
    <w:p>
      <w:r>
        <w:t>Module / arii în scop:</w:t>
      </w:r>
    </w:p>
    <w:p>
      <w:pPr>
        <w:pStyle w:val="ListBullet"/>
      </w:pPr>
    </w:p>
    <w:p>
      <w:pPr>
        <w:pStyle w:val="ListBullet"/>
      </w:pPr>
    </w:p>
    <w:p>
      <w:r>
        <w:t>În afara scopului:</w:t>
      </w:r>
    </w:p>
    <w:p>
      <w:pPr>
        <w:pStyle w:val="ListBullet"/>
      </w:pPr>
    </w:p>
    <w:p>
      <w:pPr>
        <w:pStyle w:val="Heading1"/>
      </w:pPr>
      <w:r>
        <w:t>5. Decizii luate anterior</w:t>
      </w:r>
    </w:p>
    <w:p>
      <w:r>
        <w:rPr>
          <w:i/>
          <w:color w:val="707070"/>
          <w:sz w:val="18"/>
        </w:rPr>
        <w:t>Deciziile deja agreate. Minuta le poate lega de discuția curentă și nu le reraportează ca fiind noi.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Decizie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6. Acțiuni deschise din ședințele anterioare</w:t>
      </w:r>
    </w:p>
    <w:p>
      <w:r>
        <w:rPr>
          <w:i/>
          <w:color w:val="707070"/>
          <w:sz w:val="18"/>
        </w:rPr>
        <w:t>Ce era în lucru înainte. Dacă în ședință se discută despre ele, minuta marchează explicit ce s-a închis și ce rămâne.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Responsabil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Acțiune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Termen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7. Preferințe de redactare</w:t>
      </w:r>
    </w:p>
    <w:p>
      <w:r>
        <w:rPr>
          <w:i/>
          <w:color w:val="707070"/>
          <w:sz w:val="18"/>
        </w:rPr>
        <w:t>Cum vreți să arate minuta. Scrieți liber, în cuvintele voastre.</w:t>
      </w:r>
    </w:p>
    <w:p>
      <w:r>
        <w:rPr>
          <w:i/>
          <w:color w:val="707070"/>
          <w:sz w:val="18"/>
        </w:rPr>
        <w:t>Exemple: Evidențiați riscurile într-o secțiune separată. · Folosiți „scop”, nu „perimetru”. · Nu includeți discuțiile despre planificarea internă.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