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df" ContentType="application/pdf"/>
  <Override PartName="/word/media/rId49.pdf" ContentType="application/pdf"/>
  <Override PartName="/word/media/rId45.pdf" ContentType="application/pdf"/>
  <Override PartName="/word/media/rId11.svg" ContentType="image/svg+xml"/>
  <Override PartName="/word/media/rId28.svg" ContentType="image/svg+xml"/>
  <Override PartName="/word/media/rId24.svg" ContentType="image/svg+xml"/>
  <Override PartName="/word/media/rId16.png" ContentType="image/png"/>
  <Override PartName="/word/media/rId165.svg" ContentType="image/svg+xml"/>
  <Override PartName="/word/media/rId169.svg" ContentType="image/svg+xml"/>
  <Override PartName="/word/media/rId161.svg" ContentType="image/svg+xml"/>
  <Override PartName="/word/media/rId156.svg" ContentType="image/svg+xml"/>
  <Override PartName="/word/media/rId174.svg" ContentType="image/svg+xml"/>
  <Override PartName="/word/media/rId121.pdf" ContentType="application/pdf"/>
  <Override PartName="/word/media/rId111.pdf" ContentType="application/pdf"/>
  <Override PartName="/word/media/rId107.pdf" ContentType="application/pdf"/>
  <Override PartName="/word/media/rId150.pdf" ContentType="application/pdf"/>
  <Override PartName="/word/media/rId117.pdf" ContentType="application/pdf"/>
  <Override PartName="/word/media/rId146.pdf" ContentType="application/pdf"/>
  <Override PartName="/word/media/rId142.pdf" ContentType="application/pdf"/>
  <Override PartName="/word/media/rId138.pdf" ContentType="application/pdf"/>
  <Override PartName="/word/media/rId129.pdf" ContentType="application/pdf"/>
  <Override PartName="/word/media/rId133.pdf" ContentType="application/pdf"/>
  <Override PartName="/word/media/rId125.pdf" ContentType="application/pdf"/>
  <Override PartName="/word/media/rId73.pdf" ContentType="application/pdf"/>
  <Override PartName="/word/media/rId97.pdf" ContentType="application/pdf"/>
  <Override PartName="/word/media/rId102.pdf" ContentType="application/pdf"/>
  <Override PartName="/word/media/rId77.pdf" ContentType="application/pdf"/>
  <Override PartName="/word/media/rId88.pdf" ContentType="application/pdf"/>
  <Override PartName="/word/media/rId64.pdf" ContentType="application/pdf"/>
  <Override PartName="/word/media/rId84.pdf" ContentType="application/pdf"/>
  <Override PartName="/word/media/rId60.pdf" ContentType="application/pdf"/>
  <Override PartName="/word/media/rId93.pdf" ContentType="application/pdf"/>
  <Override PartName="/word/media/rId6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Oscillatory and 1/f Broadband Spectral Features Across Cortical Regions and Recording Modalities</w:t>
      </w:r>
    </w:p>
    <w:p>
      <w:pPr>
        <w:pStyle w:val="Author"/>
      </w:pPr>
      <w:r>
        <w:t xml:space="preserve">Daniel Borek</w:t>
      </w:r>
    </w:p>
    <w:p>
      <w:pPr>
        <w:pStyle w:val="Date"/>
      </w:pPr>
      <w:r>
        <w:t xml:space="preserve">2026-06-23</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9" w:name="X4a5f7df49b5789dc3e10d73f0fcf60507626998"/>
    <w:p>
      <w:pPr>
        <w:pStyle w:val="Heading1"/>
      </w:pPr>
      <w:r>
        <w:t xml:space="preserve">Mapping Oscillatory and 1/f Broadband Spectral Features Across Cortical Regions and Recording Modalities</w:t>
      </w:r>
    </w:p>
    <w:bookmarkEnd w:id="9"/>
    <w:bookmarkStart w:id="10" w:name="introduction"/>
    <w:p>
      <w:pPr>
        <w:pStyle w:val="Heading1"/>
      </w:pPr>
      <w:r>
        <w:t xml:space="preserve">Introduction</w:t>
      </w:r>
    </w:p>
    <w:p>
      <w:pPr>
        <w:pStyle w:val="FirstParagraph"/>
      </w:pPr>
      <w:r>
        <w:t xml:space="preserve">Cortical organisation of the brain is often defined by cytoarchitecture and connectivity. Cortical regions also differ in their intrinsic activity, including their electrophysiological dynamics in the resting state. Intracranial recordings show that different brain areas have distinct spectral profiles: characteristic patterns of oscillatory peaks and broadband spectral shape that together shape regional electrophysiological signatures</w:t>
      </w:r>
      <w:r>
        <w:t xml:space="preserve"> </w:t>
      </w:r>
      <w:r>
        <w:t xml:space="preserve">(</w:t>
      </w:r>
      <w:r>
        <w:t xml:space="preserve">Frauscher et al.</w:t>
      </w:r>
      <w:r>
        <w:t xml:space="preserve"> </w:t>
      </w:r>
      <w:r>
        <w:t xml:space="preserve">2018; Groppe et al. 2013)</w:t>
      </w:r>
      <w:r>
        <w:t xml:space="preserve">. Understanding of this organisation is important, as differences in regional profiles are increasingly investigated as biomarkers for early-onset and differential diagnosis of neurological and psychiatric conditions</w:t>
      </w:r>
      <w:r>
        <w:t xml:space="preserve"> </w:t>
      </w:r>
      <w:r>
        <w:t xml:space="preserve">(De Keulenaer et al. 2025; Jaramillo-Jimenez et al. 2025)</w:t>
      </w:r>
      <w:r>
        <w:t xml:space="preserve">.</w:t>
      </w:r>
    </w:p>
    <w:p>
      <w:pPr>
        <w:pStyle w:val="BodyText"/>
      </w:pPr>
      <w:r>
        <w:t xml:space="preserve">An important reference point for characterizing these signatures is a normative atlas of intracranial EEG published by</w:t>
      </w:r>
      <w:r>
        <w:t xml:space="preserve"> </w:t>
      </w:r>
      <w:r>
        <w:t xml:space="preserve">Frauscher et al.</w:t>
      </w:r>
      <w:r>
        <w:t xml:space="preserve"> </w:t>
      </w:r>
      <w:r>
        <w:t xml:space="preserve">(2018)</w:t>
      </w:r>
      <w:r>
        <w:t xml:space="preserve">. This atlas includes 1772 channels from 106 epilepsy patients, distributed across 38 cortical regions during resting wakefulness with eyes closed. Using k-means clustering and comparison against a no-peak reference set, the authors identified region-specific patterns of oscillatory peaks across frequencies.</w:t>
      </w:r>
      <w:r>
        <w:t xml:space="preserve"> </w:t>
      </w:r>
      <w:r>
        <w:t xml:space="preserve">. This atlas remains one of the most comprehensive open-access resources for normative iEEG spectral features, and it provides a useful external reference for evaluating spectral maps obtained with non-invasive methods. Comparing these features across recording modalities is methodologically difficult. iEEG provides a relatively direct measure of local field potentials with limited volume conduction, making it a useful reference for regional spectral organization. In addition, iEEG has relatively clean signal: when comparing blink-related artefact amplitude with ongoing brain activity,</w:t>
      </w:r>
      <w:r>
        <w:t xml:space="preserve"> </w:t>
      </w:r>
      <w:r>
        <w:t xml:space="preserve">Ball et al. (2009)</w:t>
      </w:r>
      <w:r>
        <w:t xml:space="preserve"> </w:t>
      </w:r>
      <w:r>
        <w:t xml:space="preserve">reported that invasive EEG/ECoG had a signal-to-noise ratio approximately 20 to more than 100 times higher than simultaneously recorded scalp EEG.</w:t>
      </w:r>
    </w:p>
    <w:p>
      <w:pPr>
        <w:pStyle w:val="BodyText"/>
      </w:pPr>
      <w:r>
        <w:t xml:space="preserve">In source-reconstructed MEG, similar regional structures has also been documented.</w:t>
      </w:r>
      <w:r>
        <w:t xml:space="preserve"> </w:t>
      </w:r>
      <w:r>
        <w:t xml:space="preserve">Keitel and Gross (2016)</w:t>
      </w:r>
      <w:r>
        <w:t xml:space="preserve"> </w:t>
      </w:r>
      <w:r>
        <w:t xml:space="preserve">showed that resting-state spectral profiles are distinctive enough to fingerprint individual cortical areas.</w:t>
      </w:r>
      <w:r>
        <w:t xml:space="preserve"> </w:t>
      </w:r>
      <w:r>
        <w:t xml:space="preserve">Mellem et al. (2017)</w:t>
      </w:r>
      <w:r>
        <w:t xml:space="preserve"> </w:t>
      </w:r>
      <w:r>
        <w:t xml:space="preserve">found that within most regions multiple frequency bands dominate at once, so regional identity is distributed across the spectrum.</w:t>
      </w:r>
      <w:r>
        <w:t xml:space="preserve"> </w:t>
      </w:r>
      <w:r>
        <w:t xml:space="preserve">Mahjoory et al. (2020)</w:t>
      </w:r>
      <w:r>
        <w:t xml:space="preserve"> </w:t>
      </w:r>
      <w:r>
        <w:t xml:space="preserve">reported, across 187 participants, a posterior-to-anterior decrease in dominant peak frequency that anticorrelates with cortical thickness as a proxy for hierarchical level.</w:t>
      </w:r>
      <w:r>
        <w:t xml:space="preserve"> </w:t>
      </w:r>
      <w:r>
        <w:t xml:space="preserve">Niso et al. (2019)</w:t>
      </w:r>
      <w:r>
        <w:t xml:space="preserve"> </w:t>
      </w:r>
      <w:r>
        <w:t xml:space="preserve">demonstrated that source-space MEG power maps of this kind are reproducible with a standardized pipeline and</w:t>
      </w:r>
      <w:r>
        <w:t xml:space="preserve"> </w:t>
      </w:r>
      <w:r>
        <w:t xml:space="preserve">Shafiei et al. (2023)</w:t>
      </w:r>
      <w:r>
        <w:t xml:space="preserve"> </w:t>
      </w:r>
      <w:r>
        <w:t xml:space="preserve">brought this picture even sharper linking intrinsic electrophysiological activity in MEG with cortical micro-architecture. This approach has however still some limitation, as the orginal papers discussed and</w:t>
      </w:r>
      <w:r>
        <w:t xml:space="preserve"> </w:t>
      </w:r>
      <w:r>
        <w:t xml:space="preserve">Tait et al. (2021)</w:t>
      </w:r>
      <w:r>
        <w:t xml:space="preserve"> </w:t>
      </w:r>
      <w:r>
        <w:t xml:space="preserve">shows that source reconstruction can introduce systematic distortions and variability that propagate into spectral parameterisation.</w:t>
      </w:r>
    </w:p>
    <w:p>
      <w:pPr>
        <w:pStyle w:val="BodyText"/>
      </w:pPr>
      <w:r>
        <w:t xml:space="preserve">Source-reconstructed HD-EEG is also non-invasive and provides whole-head coverage, but unlike MEG it is widely affordable: MEG offers excellent signal quality, yet most labs cannot afford it, whereas HD-EEG is comparatively cheap and routinely used. It also carries the same reconstruction caveats. Its source estimates depend on the inverse method, electrode density, head model, signal-to-noise ratio, and spatial leakage, and reconstruction can introduce spatial blurring and method-specific biases in the estimated spectral profiles</w:t>
      </w:r>
      <w:r>
        <w:t xml:space="preserve"> </w:t>
      </w:r>
      <w:r>
        <w:t xml:space="preserve">(Liu et al. 2018; Lai et al. 2018; Piastra et al. 2020)</w:t>
      </w:r>
      <w:r>
        <w:t xml:space="preserve">. Because these distortions are systematic and depend on the reconstruction pipeline, disagreement with iEEG is not straightforward evidence of failed recovery: apparent mismatches may reflect genuine modality differences, source-reconstruction artefacts, or their interaction.</w:t>
      </w:r>
    </w:p>
    <w:p>
      <w:pPr>
        <w:pStyle w:val="BodyText"/>
      </w:pPr>
      <w:r>
        <w:t xml:space="preserve">A further complication is that</w:t>
      </w:r>
      <w:r>
        <w:t xml:space="preserve"> </w:t>
      </w:r>
      <w:r>
        <w:t xml:space="preserve">“spectral organisation”</w:t>
      </w:r>
      <w:r>
        <w:t xml:space="preserve"> </w:t>
      </w:r>
      <w:r>
        <w:t xml:space="preserve">is not a single object. Regional spectra combine narrowband peaks with broader changes in spectral shape, so apparent differences between regions or modalities can depend on which part of the spectrum is treated as oscillatory and which part as background. Under this operational view, the power spectrum can be described as a combination of narrowband rhythmic activity and a broadband, approximately</w:t>
      </w:r>
      <w:r>
        <w:t xml:space="preserve"> </w:t>
      </w:r>
      <m:oMath>
        <m:r>
          <m:t>1</m:t>
        </m:r>
        <m:r>
          <m:rPr>
            <m:sty m:val="p"/>
          </m:rPr>
          <m:t>/</m:t>
        </m:r>
        <m:sSup>
          <m:e>
            <m:r>
              <m:t>f</m:t>
            </m:r>
          </m:e>
          <m:sup>
            <m:r>
              <m:t>χ</m:t>
            </m:r>
          </m:sup>
        </m:sSup>
      </m:oMath>
      <w:r>
        <w:t xml:space="preserve"> </w:t>
      </w:r>
      <w:r>
        <w:t xml:space="preserve">component, whose power decreases with increasing frequency. In this chapter, terms such as</w:t>
      </w:r>
      <w:r>
        <w:t xml:space="preserve"> </w:t>
      </w:r>
      <w:r>
        <w:t xml:space="preserve">“broadband background”</w:t>
      </w:r>
      <w:r>
        <w:t xml:space="preserve"> </w:t>
      </w:r>
      <w:r>
        <w:t xml:space="preserve">and</w:t>
      </w:r>
      <w:r>
        <w:t xml:space="preserve"> </w:t>
      </w:r>
      <w:r>
        <w:t xml:space="preserve">“aperiodic”</w:t>
      </w:r>
      <w:r>
        <w:t xml:space="preserve"> </w:t>
      </w:r>
      <w:r>
        <w:t xml:space="preserve">are used in this descriptive and phenomenological sense: they refer to the modelled broadband spectral structure that remains once clear narrowband peaks are accounted for, without assuming that it reflects a separate physiological process or saying something about its mechanism.</w:t>
      </w:r>
    </w:p>
    <w:p>
      <w:pPr>
        <w:pStyle w:val="BodyText"/>
      </w:pPr>
      <w:r>
        <w:t xml:space="preserve">Classical analyses focused predominantly on oscillations, often operationalized as relative power in frequency bands, but broadband spectral parameters also carry neurophysiological information</w:t>
      </w:r>
      <w:r>
        <w:t xml:space="preserve"> </w:t>
      </w:r>
      <w:r>
        <w:t xml:space="preserve">(Donoghue et al. 2020)</w:t>
      </w:r>
      <w:r>
        <w:t xml:space="preserve"> </w:t>
      </w:r>
      <w:r>
        <w:t xml:space="preserve">and show regional structure. Using other approach,</w:t>
      </w:r>
      <w:r>
        <w:t xml:space="preserve"> </w:t>
      </w:r>
      <w:r>
        <w:t xml:space="preserve">Frauscher et al.</w:t>
      </w:r>
      <w:r>
        <w:t xml:space="preserve"> </w:t>
      </w:r>
      <w:r>
        <w:t xml:space="preserve">(2018)</w:t>
      </w:r>
      <w:r>
        <w:t xml:space="preserve"> </w:t>
      </w:r>
      <w:r>
        <w:t xml:space="preserve">found regional variation in the scale-free component of intracranial EEG, including stronger scale-free values in visual regions and a low-frequency shoulder in many spectra.@armonaite2026ScaleFreeNeurodynamicsFunctional extended this line of work by showing that scale-free spectral properties can serve as regional functional fingerprints, with the high-frequency exponent distinguishing cortical from subcortical areas. Regional electrophysiological identity may therefore be expressed not only in oscillatory peaks, but also in broadband parameters such as spectral slope and offset.</w:t>
      </w:r>
    </w:p>
    <w:p>
      <w:pPr>
        <w:pStyle w:val="BodyText"/>
      </w:pPr>
      <w:r>
        <w:t xml:space="preserve">At the same time, this separation remains a modelling convenience rather than a guaranteed physiological partition. As discussed in Chapter 1, the observed potential</w:t>
      </w:r>
      <w:r>
        <w:t xml:space="preserve"> </w:t>
      </w:r>
      <m:oMath>
        <m:r>
          <m:t>V</m:t>
        </m:r>
        <m:r>
          <m:rPr>
            <m:sty m:val="p"/>
          </m:rPr>
          <m:t>(</m:t>
        </m:r>
        <m:r>
          <m:t>t</m:t>
        </m:r>
        <m:r>
          <m:rPr>
            <m:sty m:val="p"/>
          </m:rPr>
          <m:t>)</m:t>
        </m:r>
      </m:oMath>
      <w:r>
        <w:t xml:space="preserve"> </w:t>
      </w:r>
      <w:r>
        <w:t xml:space="preserve">is the sum of many elementary current generators, including synaptic, dendritic, and spiking contributions, each filtered by biophysical and geometric factors</w:t>
      </w:r>
      <w:r>
        <w:t xml:space="preserve"> </w:t>
      </w:r>
      <w:r>
        <w:t xml:space="preserve">(Buzsáki et al. 2012)</w:t>
      </w:r>
      <w:r>
        <w:t xml:space="preserve">. Failing to model the broadband background can make differences in spectral slope appear as differences in oscillatory power; conversely, temporally varying oscillatory activity can contribute to what appears as broadband structure. The estimates themselves also depend on parameterisation choices: the exponent depends on the frequency range over which it is estimated</w:t>
      </w:r>
      <w:r>
        <w:t xml:space="preserve"> </w:t>
      </w:r>
      <w:r>
        <w:t xml:space="preserve">(Gerster et al. 2022; Boncompte et al. 2026)</w:t>
      </w:r>
      <w:r>
        <w:t xml:space="preserve">, and the choice between fixed and knee aperiodic models can change the result</w:t>
      </w:r>
      <w:r>
        <w:t xml:space="preserve"> </w:t>
      </w:r>
      <w:r>
        <w:t xml:space="preserve">(Ameen et al. 2025)</w:t>
      </w:r>
      <w:r>
        <w:t xml:space="preserve">.</w:t>
      </w:r>
    </w:p>
    <w:p>
      <w:pPr>
        <w:pStyle w:val="BodyText"/>
      </w:pPr>
      <w:r>
        <w:t xml:space="preserve">These choices matter because periodic and aperiodic parameters are estimated jointly. Error in the fitted broadband component does not stay confined to the broadband parameters, but can propagate into the estimated rhythmic features. In simulations where periodic and aperiodic components were combined additively and left uncorrelated by construction,</w:t>
      </w:r>
      <w:r>
        <w:t xml:space="preserve"> </w:t>
      </w:r>
      <w:r>
        <w:t xml:space="preserve">Castanheira et al. (2026)</w:t>
      </w:r>
      <w:r>
        <w:t xml:space="preserve"> </w:t>
      </w:r>
      <w:r>
        <w:t xml:space="preserve">showed that rhythmic power estimated by detrending was highly sensitive to errors in aperiodic offset and exponent, whereas rhythmic power read from modelled spectral peaks was less contaminated. The detrending operation is also underdetermined: depending on the assumed physiological mechanism, broadband structure may relate to rhythmic peaks additively or multiplicatively, so subtraction in linear and logarithmic space imply different assumptions. This is why</w:t>
      </w:r>
      <w:r>
        <w:t xml:space="preserve"> </w:t>
      </w:r>
      <w:r>
        <w:t xml:space="preserve">Brake et al. (2024)</w:t>
      </w:r>
      <w:r>
        <w:t xml:space="preserve"> </w:t>
      </w:r>
      <w:r>
        <w:t xml:space="preserve">caution against detrending where clear peaks are present. A recent preprint by</w:t>
      </w:r>
      <w:r>
        <w:t xml:space="preserve"> </w:t>
      </w:r>
      <w:r>
        <w:t xml:space="preserve">Bloniasz and Stephen (2026)</w:t>
      </w:r>
      <w:r>
        <w:t xml:space="preserve"> </w:t>
      </w:r>
      <w:r>
        <w:t xml:space="preserve">makes a related point:</w:t>
      </w:r>
      <w:r>
        <w:t xml:space="preserve"> </w:t>
      </w:r>
      <w:r>
        <w:t xml:space="preserve">“aperiodic broadband”</w:t>
      </w:r>
      <w:r>
        <w:t xml:space="preserve"> </w:t>
      </w:r>
      <w:r>
        <w:t xml:space="preserve">may be a spectral description arising from the same additive neural generators that also produce rhythms, so decomposition methods that impose multiplicative log-power structure can misestimate both broadband slopes and oscillatory peaks.</w:t>
      </w:r>
    </w:p>
    <w:p>
      <w:pPr>
        <w:pStyle w:val="BodyText"/>
      </w:pPr>
      <w:r>
        <w:t xml:space="preserve">These issues might be especially relevant for the line of cross modal validation studies.</w:t>
      </w:r>
      <w:r>
        <w:t xml:space="preserve"> </w:t>
      </w:r>
      <w:r>
        <w:t xml:space="preserve">Afnan et al.</w:t>
      </w:r>
      <w:r>
        <w:t xml:space="preserve"> </w:t>
      </w:r>
      <w:r>
        <w:t xml:space="preserve">(2023)</w:t>
      </w:r>
      <w:r>
        <w:t xml:space="preserve"> </w:t>
      </w:r>
      <w:r>
        <w:t xml:space="preserve">validated MEG source imaging of resting-state oscillatory patterns against the Frauscher iEEG atlas. Using 45 healthy participants and the same 38 regions of interest, they found that MEG-estimated spectra were more comparable to iEEG after aperiodic components were removed, and that lateral regions were recovered more accurately than deep or medial structures. Using different data sources,</w:t>
      </w:r>
      <w:r>
        <w:t xml:space="preserve"> </w:t>
      </w:r>
      <w:r>
        <w:t xml:space="preserve">Janiukstyte et al.</w:t>
      </w:r>
      <w:r>
        <w:t xml:space="preserve"> </w:t>
      </w:r>
      <w:r>
        <w:t xml:space="preserve">(2023)</w:t>
      </w:r>
      <w:r>
        <w:t xml:space="preserve"> </w:t>
      </w:r>
      <w:r>
        <w:t xml:space="preserve">presented source-localised resting-state scalp EEG maps and showed that systematic spatial variation in spectral features can be detected with scalp EEG (low-density scalp EEG vs a different iEEG reference), although with reduced spatial specificity. These studies show that regional spectral organisation can be partly preserved across modalities.</w:t>
      </w:r>
    </w:p>
    <w:p>
      <w:pPr>
        <w:pStyle w:val="BodyText"/>
      </w:pPr>
      <w:r>
        <w:t xml:space="preserve">The present chapter extends this line of work by comparing the</w:t>
      </w:r>
      <w:r>
        <w:t xml:space="preserve"> </w:t>
      </w:r>
      <w:r>
        <w:t xml:space="preserve">Frauscher et al.</w:t>
      </w:r>
      <w:r>
        <w:t xml:space="preserve"> </w:t>
      </w:r>
      <w:r>
        <w:t xml:space="preserve">(2018)</w:t>
      </w:r>
      <w:r>
        <w:t xml:space="preserve"> </w:t>
      </w:r>
      <w:r>
        <w:t xml:space="preserve">iEEG atlas with source-reconstructed HD-EEG. It first characterises the spectral structure of each dataset on its own before asking how far these structures correspond across modalities.</w:t>
      </w:r>
      <w:r>
        <w:t xml:space="preserve"> </w:t>
      </w:r>
      <w:r>
        <w:t xml:space="preserve">The general general question is to what extent can the regional spectral organisation present in intracranial EEG be recovered in non-invasive, source-reconstructed HD-EEG, and how far does the answer depend on how narrowband (periodic) and broadband (</w:t>
      </w:r>
      <w:r>
        <w:t xml:space="preserve">“aperiodic”</w:t>
      </w:r>
      <w:r>
        <w:t xml:space="preserve">) activity are operationalised? e address this question using three primary spectral descriptors, followed by a limited set of sensitivity analyses.</w:t>
      </w:r>
    </w:p>
    <w:p>
      <w:pPr>
        <w:numPr>
          <w:ilvl w:val="0"/>
          <w:numId w:val="1001"/>
        </w:numPr>
      </w:pPr>
      <w:r>
        <w:t xml:space="preserve">We follow</w:t>
      </w:r>
      <w:r>
        <w:t xml:space="preserve"> </w:t>
      </w:r>
      <w:r>
        <w:t xml:space="preserve">Frauscher et al.</w:t>
      </w:r>
      <w:r>
        <w:t xml:space="preserve"> </w:t>
      </w:r>
      <w:r>
        <w:t xml:space="preserve">(2018)</w:t>
      </w:r>
      <w:r>
        <w:t xml:space="preserve"> </w:t>
      </w:r>
      <w:r>
        <w:t xml:space="preserve">directly by identifying regional rhythms non-parametrically, as relative power exceeding a data-driven no-peak reference set rather than a fitted</w:t>
      </w:r>
      <w:r>
        <w:t xml:space="preserve"> </w:t>
      </w:r>
      <m:oMath>
        <m:r>
          <m:t>1</m:t>
        </m:r>
        <m:r>
          <m:rPr>
            <m:sty m:val="p"/>
          </m:rPr>
          <m:t>/</m:t>
        </m:r>
        <m:r>
          <m:t>f</m:t>
        </m:r>
      </m:oMath>
      <w:r>
        <w:t xml:space="preserve"> </w:t>
      </w:r>
      <w:r>
        <w:t xml:space="preserve">background. C1.  Applying this framework to both modalities asks how much of the atlas’s regional spectral organisation can be recovered in HD-EEG using the atlas’s original, pre-parameterisation approach. We additionally examine whether the data-derived way of building reference and frequency partition used by this procedure are transferable across modalities.</w:t>
      </w:r>
    </w:p>
    <w:p>
      <w:pPr>
        <w:numPr>
          <w:ilvl w:val="0"/>
          <w:numId w:val="1001"/>
        </w:numPr>
      </w:pPr>
      <w:r>
        <w:t xml:space="preserve">Second, we compare per-region relative power in canonical frequency bands before and after removal of the specparam-modelled aperiodic component.</w:t>
      </w:r>
      <w:r>
        <w:t xml:space="preserve"> </w:t>
      </w:r>
      <w:r>
        <w:t xml:space="preserve">Afnan et al.</w:t>
      </w:r>
      <w:r>
        <w:t xml:space="preserve"> </w:t>
      </w:r>
      <w:r>
        <w:t xml:space="preserve">(2023)</w:t>
      </w:r>
      <w:r>
        <w:t xml:space="preserve"> </w:t>
      </w:r>
      <w:r>
        <w:t xml:space="preserve">reported stronger correspondence between source-reconstructed MEG and the same iEEG atlas after aperiodic removal. We therefore ask whether removing the estimated broadband background similarly changes or improves cross-modal correspondence in regional band-power maps.</w:t>
      </w:r>
    </w:p>
    <w:p>
      <w:pPr>
        <w:numPr>
          <w:ilvl w:val="0"/>
          <w:numId w:val="1001"/>
        </w:numPr>
      </w:pPr>
      <w:r>
        <w:t xml:space="preserve">Third, rather than integrating residual power within predefined bands, we use the oscillatory peaks estimated directly by specparam. We ask whether cross-modal correspondence in peak prevalence and peak properties supports the same regional patterns as the two preceding descriptors.</w:t>
      </w:r>
    </w:p>
    <w:p>
      <w:pPr>
        <w:pStyle w:val="FirstParagraph"/>
      </w:pPr>
      <w:r>
        <w:t xml:space="preserve">As an auxiliary analysis, we examine whether the estimates underlying the aperiodic separation are stable across selected modelling and methodological choices, including aperiodic model, fitting range, and decomposition method. These analyses might help assess whether the conclusions drawn from residual band power and modelled peaks depend strongly on the parameterisation procedure.</w:t>
      </w:r>
    </w:p>
    <w:p>
      <w:pPr>
        <w:pStyle w:val="BodyText"/>
      </w:pPr>
      <w:r>
        <w:t xml:space="preserve">The operationalisation of oscillatory (periodic) activity has the structure of what</w:t>
      </w:r>
      <w:r>
        <w:t xml:space="preserve"> </w:t>
      </w:r>
      <w:r>
        <w:t xml:space="preserve">Gelman and Loken (2013)</w:t>
      </w:r>
      <w:r>
        <w:t xml:space="preserve"> </w:t>
      </w:r>
      <w:r>
        <w:t xml:space="preserve">call a</w:t>
      </w:r>
      <w:r>
        <w:t xml:space="preserve"> </w:t>
      </w:r>
      <w:r>
        <w:t xml:space="preserve">“garden of forking paths”</w:t>
      </w:r>
      <w:r>
        <w:t xml:space="preserve">: multiplicity arises because several defensible analytical choices are available before the results are interpreted, not because the analyst is searching for a convenient result. Verifying if and how the cross-modal answer depends on these choices is central to this chapter but a full and exhaustive multiverse analysis (</w:t>
      </w:r>
      <w:r>
        <w:t xml:space="preserve">Steegen et al. (2016)</w:t>
      </w:r>
      <w:r>
        <w:t xml:space="preserve">) is outside of scope here.</w:t>
      </w:r>
    </w:p>
    <w:bookmarkEnd w:id="10"/>
    <w:bookmarkStart w:id="44" w:name="material-and-methods"/>
    <w:p>
      <w:pPr>
        <w:pStyle w:val="Heading1"/>
      </w:pPr>
      <w:r>
        <w:t xml:space="preserve">Material and methods</w:t>
      </w:r>
    </w:p>
    <w:bookmarkStart w:id="22" w:name="experimental-design"/>
    <w:p>
      <w:pPr>
        <w:pStyle w:val="Heading2"/>
      </w:pPr>
      <w:r>
        <w:t xml:space="preserve">Experimental design</w:t>
      </w:r>
    </w:p>
    <w:p>
      <w:pPr>
        <w:pStyle w:val="FirstParagraph"/>
      </w:pPr>
      <w:r>
        <w:t xml:space="preserve">The analysis pipeline is summarised in</w:t>
      </w:r>
      <w:r>
        <w:t xml:space="preserve"> </w:t>
      </w:r>
      <w:hyperlink w:anchor="fig-pipeline">
        <w:r>
          <w:rPr>
            <w:rStyle w:val="Hyperlink"/>
          </w:rPr>
          <w:t xml:space="preserve">Figure 1</w:t>
        </w:r>
      </w:hyperlink>
      <w:r>
        <w:t xml:space="preserve">, which also shows the preprocessing and source-space extraction steps that prepare the HD-EEG data for comparison with the iEEG atlas. Because regional spectral organisation is not captured by a single measure, we compare several</w:t>
      </w:r>
      <w:r>
        <w:t xml:space="preserve"> </w:t>
      </w:r>
      <w:r>
        <w:rPr>
          <w:i/>
          <w:iCs/>
        </w:rPr>
        <w:t xml:space="preserve">spectral descriptors</w:t>
      </w:r>
      <w:r>
        <w:t xml:space="preserve">, defined here as PSD summaries used for cross-modal comparison: uncorrected relative band power, aperiodic-subtracted residual power, fitted peak parameters, and aperiodic parameters. We first examine uncorrected unit-power spectra using the Frauscher clustering procedure, relative band-power maps, and band-overlap metrics. We then parameterise each spectrum to obtain two aperiodic-separated descriptions of oscillatory organisation: residual band power after subtracting the fitted broadband component, and fitted peak descriptors such as prevalence, amplitude, and centre frequency. Finally, we test whether the aperiodic estimates used in this separation are stable across fitting mode, frequency range, and decomposition method.</w:t>
      </w:r>
    </w:p>
    <w:tbl>
      <w:tblPr>
        <w:tblStyle w:val="Table"/>
        <w:tblW w:type="pct" w:w="5000"/>
        <w:tblLayout w:type="fixed"/>
        <w:tblLook w:firstRow="0" w:lastRow="0" w:firstColumn="0" w:lastColumn="0" w:noHBand="0" w:noVBand="0" w:val="0000"/>
      </w:tblPr>
      <w:tblGrid>
        <w:gridCol w:w="7920"/>
      </w:tblGrid>
      <w:tr>
        <w:tc>
          <w:tcPr/>
          <w:bookmarkStart w:id="14" w:name="fig-pipeline"/>
          <w:p>
            <w:pPr>
              <w:pStyle w:val="Compact"/>
              <w:jc w:val="center"/>
            </w:pPr>
            <w:r>
              <w:drawing>
                <wp:inline>
                  <wp:extent cx="5067300" cy="3134270"/>
                  <wp:effectExtent b="0" l="0" r="0" t="0"/>
                  <wp:docPr descr="" title="" id="12" name="Picture"/>
                  <a:graphic>
                    <a:graphicData uri="http://schemas.openxmlformats.org/drawingml/2006/picture">
                      <pic:pic>
                        <pic:nvPicPr>
                          <pic:cNvPr descr="figures/chapter2/diagrams/figure1_pipeline.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5067300" cy="313427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preprocessing and analysis pipeline.</w:t>
            </w:r>
          </w:p>
          <w:bookmarkEnd w:id="14"/>
        </w:tc>
      </w:tr>
    </w:tbl>
    <w:bookmarkStart w:id="15" w:name="intracranial-data"/>
    <w:p>
      <w:pPr>
        <w:pStyle w:val="Heading3"/>
      </w:pPr>
      <w:r>
        <w:t xml:space="preserve">Intracranial data</w:t>
      </w:r>
    </w:p>
    <w:p>
      <w:pPr>
        <w:pStyle w:val="FirstParagraph"/>
      </w:pPr>
      <w:r>
        <w:t xml:space="preserve">The intracranial EEG data come from the MNI Open iEEG Atlas</w:t>
      </w:r>
      <w:r>
        <w:t xml:space="preserve"> </w:t>
      </w:r>
      <w:r>
        <w:t xml:space="preserve">(</w:t>
      </w:r>
      <w:r>
        <w:t xml:space="preserve">Frauscher et al.</w:t>
      </w:r>
      <w:r>
        <w:t xml:space="preserve"> </w:t>
      </w:r>
      <w:r>
        <w:t xml:space="preserve">2018)</w:t>
      </w:r>
      <w:r>
        <w:t xml:space="preserve">, a normative resource compiled from 106 patients with refractory epilepsy recorded at three centers. Only channels implanted in brain regions that were determined to be non-epileptogenic throughout the monitoring period were retained, yielding 1772 channels (13 channels were removed from the initial release as they were later judged erroneous on visual inspection) distributed across 38 cortical regions defined by the MICCAI atlas.</w:t>
      </w:r>
      <w:r>
        <w:t xml:space="preserve"> </w:t>
      </w:r>
      <w:hyperlink w:anchor="fig-frauscher-atlas">
        <w:r>
          <w:rPr>
            <w:rStyle w:val="Hyperlink"/>
          </w:rPr>
          <w:t xml:space="preserve">Figure 2</w:t>
        </w:r>
      </w:hyperlink>
      <w:r>
        <w:t xml:space="preserve"> </w:t>
      </w:r>
      <w:r>
        <w:t xml:space="preserve">shows the channel coverage, distinguishing depth/stereo-EEG contacts from cortical grid and strip contacts across both hemispheres.</w:t>
      </w:r>
    </w:p>
    <w:p>
      <w:pPr>
        <w:pStyle w:val="BodyText"/>
      </w:pPr>
      <w:r>
        <w:t xml:space="preserve">The 38 regions were built by consolidating 20 smaller MICCAI labels into 8 functional groups so that each region held at least 5 channels, while 16 labels were omitted due to lack of coverage. For each channel, 60 seconds of resting wakefulness data with eyes closed were available.</w:t>
      </w:r>
    </w:p>
    <w:p>
      <w:pPr>
        <w:pStyle w:val="BodyText"/>
      </w:pPr>
      <w:r>
        <w:t xml:space="preserve">The atlas authors resampled the signals to 200 Hz, applied an 80 Hz low-pass antialiasing filter, and reduced power-line interference with an adaptive filter.</w:t>
      </w:r>
    </w:p>
    <w:bookmarkEnd w:id="15"/>
    <w:bookmarkStart w:id="20" w:name="source-reconstructed-hd-eeg"/>
    <w:p>
      <w:pPr>
        <w:pStyle w:val="Heading3"/>
      </w:pPr>
      <w:r>
        <w:t xml:space="preserve">Source-reconstructed HD-EEG</w:t>
      </w:r>
    </w:p>
    <w:p>
      <w:pPr>
        <w:pStyle w:val="FirstParagraph"/>
      </w:pPr>
      <w:r>
        <w:t xml:space="preserve">Five minutes of eyes-open resting state EEG data were collected in 19 healthy young adult volunteers (age</w:t>
      </w:r>
      <w:r>
        <w:t xml:space="preserve"> </w:t>
      </w:r>
      <m:oMath>
        <m:r>
          <m:t>28</m:t>
        </m:r>
        <m:r>
          <m:rPr>
            <m:sty m:val="p"/>
          </m:rPr>
          <m:t>±</m:t>
        </m:r>
        <m:r>
          <m:t>6</m:t>
        </m:r>
      </m:oMath>
      <w:r>
        <w:t xml:space="preserve"> </w:t>
      </w:r>
      <w:r>
        <w:t xml:space="preserve">years, 14 females) with Ethics Committee of ETH Zurich approval. EEG signals were recorded at a 1000 Hz sampling rate using a 256-channel HydroCel Geodesic Sensor Net by Electrical Geodesics (Eugene, Oregon, USA). HD-EEG data were recorded with the eyes open condition.</w:t>
      </w:r>
      <w:r>
        <w:t xml:space="preserve"> </w:t>
      </w:r>
      <w:r>
        <w:t xml:space="preserve">The full details of collecting and preprocessing this dataset were described in</w:t>
      </w:r>
      <w:r>
        <w:t xml:space="preserve"> </w:t>
      </w:r>
      <w:r>
        <w:t xml:space="preserve">Samogin et al. (2019)</w:t>
      </w:r>
      <w:r>
        <w:t xml:space="preserve"> </w:t>
      </w:r>
      <w:r>
        <w:t xml:space="preserve">and</w:t>
      </w:r>
      <w:r>
        <w:t xml:space="preserve"> </w:t>
      </w:r>
      <w:r>
        <w:t xml:space="preserve">Samogin et al. (2020)</w:t>
      </w:r>
      <w:r>
        <w:t xml:space="preserve">. The poor channels were identified (0-13 per subject) and interpolated; data was band-pass filtered within the 1-80 Hz range, and biological artefacts were removed using the fixed-point ICA (FastICA) algorithm. The realistic head model was provided as input to the exact low-resolution brain electromagnetic tomography (eLORETA) algorithm</w:t>
      </w:r>
      <w:r>
        <w:t xml:space="preserve"> </w:t>
      </w:r>
      <w:r>
        <w:t xml:space="preserve">(Pascual-Marqui et al. 2011)</w:t>
      </w:r>
      <w:r>
        <w:t xml:space="preserve">, together with the preprocessed EEG signals, to estimate brain activity in the source space at high-temporal resolution.</w:t>
      </w:r>
    </w:p>
    <w:p>
      <w:pPr>
        <w:pStyle w:val="BodyText"/>
      </w:pPr>
      <w:r>
        <w:t xml:space="preserve">The following steps and timeseries extraction were chosen to match the iEEG atlas: source activity was extracted from reconstructed sources using average coordinates from the electrodes within 76 MICCAI-defined ROIs in MNI space, resulting in 1444 virtual sensors, with the grouped regional reference coordinates illustrated in</w:t>
      </w:r>
      <w:r>
        <w:t xml:space="preserve"> </w:t>
      </w:r>
      <w:hyperlink w:anchor="fig-frauscher-atlas">
        <w:r>
          <w:rPr>
            <w:rStyle w:val="Hyperlink"/>
          </w:rPr>
          <w:t xml:space="preserve">Figure 2</w:t>
        </w:r>
      </w:hyperlink>
      <w:r>
        <w:t xml:space="preserve">, panel B. Signal was downsampled to 200 Hz to match iEEG; 60 s segment extracted.</w:t>
      </w:r>
    </w:p>
    <w:tbl>
      <w:tblPr>
        <w:tblStyle w:val="Table"/>
        <w:tblW w:type="pct" w:w="5000"/>
        <w:tblLayout w:type="fixed"/>
        <w:tblLook w:firstRow="0" w:lastRow="0" w:firstColumn="0" w:lastColumn="0" w:noHBand="0" w:noVBand="0" w:val="0000"/>
      </w:tblPr>
      <w:tblGrid>
        <w:gridCol w:w="7920"/>
      </w:tblGrid>
      <w:tr>
        <w:tc>
          <w:tcPr/>
          <w:bookmarkStart w:id="19" w:name="fig-frauscher-atlas"/>
          <w:p>
            <w:pPr>
              <w:pStyle w:val="Compact"/>
              <w:jc w:val="center"/>
            </w:pPr>
            <w:r>
              <w:drawing>
                <wp:inline>
                  <wp:extent cx="4267200" cy="2598821"/>
                  <wp:effectExtent b="0" l="0" r="0" t="0"/>
                  <wp:docPr descr="" title="" id="17" name="Picture"/>
                  <a:graphic>
                    <a:graphicData uri="http://schemas.openxmlformats.org/drawingml/2006/picture">
                      <pic:pic>
                        <pic:nvPicPr>
                          <pic:cNvPr descr="figures/chapter2/frauscher_channels_and_centroids.png" id="18" name="Picture"/>
                          <pic:cNvPicPr>
                            <a:picLocks noChangeArrowheads="1" noChangeAspect="1"/>
                          </pic:cNvPicPr>
                        </pic:nvPicPr>
                        <pic:blipFill>
                          <a:blip r:embed="rId16"/>
                          <a:stretch>
                            <a:fillRect/>
                          </a:stretch>
                        </pic:blipFill>
                        <pic:spPr bwMode="auto">
                          <a:xfrm>
                            <a:off x="0" y="0"/>
                            <a:ext cx="4267200" cy="259882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Spatial distribution of the MNI Open iEEG Atlas channels and regional reference centroids in MNI space. (</w:t>
            </w:r>
            <w:r>
              <w:rPr>
                <w:b/>
                <w:bCs/>
              </w:rPr>
              <w:t xml:space="preserve">A</w:t>
            </w:r>
            <w:r>
              <w:t xml:space="preserve">) Glass-brain visualization of the 1772 intracranial EEG channels, with depth and stereo-EEG contacts shown in blue and cortical grid/strip contacts shown in orange. For visualization, left-hemisphere channel coordinates were assigned negative x-values based on the hemisphere label. (</w:t>
            </w:r>
            <w:r>
              <w:rPr>
                <w:b/>
                <w:bCs/>
              </w:rPr>
              <w:t xml:space="preserve">B</w:t>
            </w:r>
            <w:r>
              <w:t xml:space="preserve">) Glass-brain visualization of the regional reference centroids used in the grouped regional analyses, shown as enlarged magenta markers.</w:t>
            </w:r>
          </w:p>
          <w:bookmarkEnd w:id="19"/>
        </w:tc>
      </w:tr>
    </w:tbl>
    <w:bookmarkEnd w:id="20"/>
    <w:bookmarkStart w:id="21" w:name="psd-estimation"/>
    <w:p>
      <w:pPr>
        <w:pStyle w:val="Heading3"/>
      </w:pPr>
      <w:r>
        <w:t xml:space="preserve">PSD estimation</w:t>
      </w:r>
    </w:p>
    <w:p>
      <w:pPr>
        <w:pStyle w:val="FirstParagraph"/>
      </w:pPr>
      <w:r>
        <w:t xml:space="preserve">In the iEEG dataset, power spectral density (PSD) was estimated using Welch’s method with 2-second Hamming windows and 50% overlap, resulting in a frequency resolution of 0.5 Hz. Full preprocessing details are given in</w:t>
      </w:r>
      <w:r>
        <w:t xml:space="preserve"> </w:t>
      </w:r>
      <w:r>
        <w:t xml:space="preserve">Frauscher et al.</w:t>
      </w:r>
      <w:r>
        <w:t xml:space="preserve"> </w:t>
      </w:r>
      <w:r>
        <w:t xml:space="preserve">(2018)</w:t>
      </w:r>
      <w:r>
        <w:t xml:space="preserve">.</w:t>
      </w:r>
    </w:p>
    <w:p>
      <w:pPr>
        <w:pStyle w:val="BodyText"/>
      </w:pPr>
      <w:r>
        <w:t xml:space="preserve">In HD EEG reconstructed sensors, 60s activity was extracted from each time series according to the parameters defined in Frauscher’s paper (sampling frequency 200Hz). Spectral densities were computed using identical Welch parameters (2s windows, 50% overlap, 0.5 Hz resolution).</w:t>
      </w:r>
    </w:p>
    <w:p>
      <w:pPr>
        <w:pStyle w:val="BodyText"/>
      </w:pPr>
      <w:r>
        <w:t xml:space="preserve">All spectral data were normalised to unit total power to ensure that the comparison focused on the relative distribution of spectral power across frequency, including both peaks and broadband shape, rather than on absolute amplitude differences between scalp and intracranial sensors. .</w:t>
      </w:r>
    </w:p>
    <w:p>
      <w:pPr>
        <w:pStyle w:val="BodyText"/>
      </w:pPr>
      <w:r>
        <w:t xml:space="preserve">Where later analyses use canonical bands, we define them as delta 1-4 Hz, theta 4-8 Hz, alpha 8-13 Hz, beta 13-30 Hz, gamma 30-80 Hz. We use 1 Hz as the lower bound throughout to aid the cross-modal comparison and define power in a band as sum of values in specific band.</w:t>
      </w:r>
    </w:p>
    <w:bookmarkEnd w:id="21"/>
    <w:bookmarkEnd w:id="22"/>
    <w:bookmarkStart w:id="23" w:name="sec-clustering"/>
    <w:p>
      <w:pPr>
        <w:pStyle w:val="Heading2"/>
      </w:pPr>
      <w:r>
        <w:t xml:space="preserve">K-means clustering and no-peak reference</w:t>
      </w:r>
    </w:p>
    <w:p>
      <w:pPr>
        <w:pStyle w:val="FirstParagraph"/>
      </w:pPr>
      <w:r>
        <w:t xml:space="preserve">To enable comparison with</w:t>
      </w:r>
      <w:r>
        <w:t xml:space="preserve"> </w:t>
      </w:r>
      <w:r>
        <w:t xml:space="preserve">Frauscher et al.</w:t>
      </w:r>
      <w:r>
        <w:t xml:space="preserve"> </w:t>
      </w:r>
      <w:r>
        <w:t xml:space="preserve">(2018)</w:t>
      </w:r>
      <w:r>
        <w:t xml:space="preserve">, we followed their peak-detection procedure: an unsupervised k-means clustering of the channel power spectra, followed by a test for region-specific peaks against a data-derived no-peak reference. We applied it to the iEEG atlas and to the source-reconstructed HD-EEG data.</w:t>
      </w:r>
    </w:p>
    <w:p>
      <w:pPr>
        <w:pStyle w:val="BodyText"/>
      </w:pPr>
      <w:r>
        <w:t xml:space="preserve">We made one deliberate departure from</w:t>
      </w:r>
      <w:r>
        <w:t xml:space="preserve"> </w:t>
      </w:r>
      <w:r>
        <w:t xml:space="preserve">Frauscher et al.</w:t>
      </w:r>
      <w:r>
        <w:t xml:space="preserve"> </w:t>
      </w:r>
      <w:r>
        <w:t xml:space="preserve">(2018)</w:t>
      </w:r>
      <w:r>
        <w:t xml:space="preserve">: we omitted the 0.5-80 Hz bandpass filter. A bandpass introduces amplitude transitions near its cutoffs that distort spectral shape at the edges of the analysis range, and because k-means operates directly on the normalised density across the full 0.5-80 Hz band, such filter-induced shape changes are liable to be read as cluster structure rather than excluded from it.</w:t>
      </w:r>
    </w:p>
    <w:p>
      <w:pPr>
        <w:pStyle w:val="BodyText"/>
      </w:pPr>
      <w:r>
        <w:t xml:space="preserve">We clustered the normalised spectra (unit total power, as defined in PSD estimation) with k-means, using 160 features (0.5 Hz bins from 0.5 to 80 Hz), Euclidean distance, and 100 repetitions . We increased the number of clusters</w:t>
      </w:r>
      <w:r>
        <w:t xml:space="preserve"> </w:t>
      </w:r>
      <m:oMath>
        <m:r>
          <m:t>k</m:t>
        </m:r>
      </m:oMath>
      <w:r>
        <w:t xml:space="preserve"> </w:t>
      </w:r>
      <w:r>
        <w:t xml:space="preserve">until a group without peaks emerged, defined as the group whose mean normalised spectrum fell below the maximum across the other groups, and kept the 50% of channels closest to that group’s centroid as the no-peak reference set; the resulting</w:t>
      </w:r>
      <w:r>
        <w:t xml:space="preserve"> </w:t>
      </w:r>
      <m:oMath>
        <m:r>
          <m:t>k</m:t>
        </m:r>
      </m:oMath>
      <w:r>
        <w:t xml:space="preserve"> </w:t>
      </w:r>
      <w:r>
        <w:t xml:space="preserve">per modality is reported in the Results.</w:t>
      </w:r>
    </w:p>
    <w:p>
      <w:pPr>
        <w:pStyle w:val="BodyText"/>
      </w:pPr>
      <w:r>
        <w:t xml:space="preserve">To test for the presence of region-specific peaks against this no-peak reference set, the spectrum was divided into frequency intervals.</w:t>
      </w:r>
      <w:r>
        <w:t xml:space="preserve"> </w:t>
      </w:r>
      <w:r>
        <w:t xml:space="preserve">Frauscher et al.</w:t>
      </w:r>
      <w:r>
        <w:t xml:space="preserve"> </w:t>
      </w:r>
      <w:r>
        <w:t xml:space="preserve">(2018)</w:t>
      </w:r>
      <w:r>
        <w:t xml:space="preserve"> </w:t>
      </w:r>
      <w:r>
        <w:t xml:space="preserve">defined these intervals from the data, requiring each to hold at least 4% of the total mean power; applied across modalities this rule returned different numbers of intervals, so for comparability we instead adopted the fixed intervals of the original paper. The 160 bins were grouped into 22 intervals, with boundaries at 0.5, 0.75, 1.25, 1.75, 2.25, 3.25, 3.75, 4.25, 5.25, 6.25, 6.75, 7.75, 8.25, 9.25, 10.25, 11.75, 13.25, 15.25, 17.25, 20.25, 24.25, 31.75, and 80 Hz.</w:t>
      </w:r>
    </w:p>
    <w:p>
      <w:pPr>
        <w:pStyle w:val="BodyText"/>
      </w:pPr>
      <w:r>
        <w:t xml:space="preserve">For each region and interval, we tested for a peak by comparing the spectral-density distribution of all channels in that region against the no-peak set, using a one-sided two-sample Kolmogorov-Smirnov test at the 5% level with Bonferroni correction across 42 regions (38 cortical regions plus 4 lobes) and 22 frequency intervals (hemispheres pooled).</w:t>
      </w:r>
    </w:p>
    <w:p>
      <w:pPr>
        <w:pStyle w:val="BodyText"/>
      </w:pPr>
      <w:r>
        <w:t xml:space="preserve">The Kolmogorov-Smirnov screen identifies where a region differs from the no-peak set but not how many of its channels drive that difference. To quantify how widespread the effect was, we compared each channel’s relative power in the interval against the no-peak distribution with a one-sided Wilcoxon rank-sum (Mann-Whitney U) test at the 5% level, uncorrected, and report the proportion of the region’s channels that exceeded the no-peak set. This two-stage logic mirrors</w:t>
      </w:r>
      <w:r>
        <w:t xml:space="preserve"> </w:t>
      </w:r>
      <w:r>
        <w:t xml:space="preserve">Frauscher et al.</w:t>
      </w:r>
      <w:r>
        <w:t xml:space="preserve"> </w:t>
      </w:r>
      <w:r>
        <w:t xml:space="preserve">(2018)</w:t>
      </w:r>
      <w:r>
        <w:t xml:space="preserve">.</w:t>
      </w:r>
    </w:p>
    <w:p>
      <w:pPr>
        <w:pStyle w:val="BodyText"/>
      </w:pPr>
      <w:r>
        <w:t xml:space="preserve">For HD-EEG we applied the same procedure and kept the iEEG-derived intervals for comparability, even though the 4% power condition did not hold for the source-reconstructed spectra; we report the consequences in the Results.</w:t>
      </w:r>
    </w:p>
    <w:bookmarkEnd w:id="23"/>
    <w:bookmarkStart w:id="34" w:name="spectral-parametrisation-framework"/>
    <w:p>
      <w:pPr>
        <w:pStyle w:val="Heading2"/>
      </w:pPr>
      <w:r>
        <w:t xml:space="preserve">Spectral parametrisation framework</w:t>
      </w:r>
    </w:p>
    <w:bookmarkStart w:id="32" w:name="X06a3bd3bd2301aca6e9e87932a28e98bad0336e"/>
    <w:p>
      <w:pPr>
        <w:pStyle w:val="Heading3"/>
      </w:pPr>
      <w:r>
        <w:t xml:space="preserve">Spectral parameterisation and aperiodic modes</w:t>
      </w:r>
    </w:p>
    <w:p>
      <w:pPr>
        <w:pStyle w:val="FirstParagraph"/>
      </w:pPr>
      <w:r>
        <w:t xml:space="preserve">Introduced by</w:t>
      </w:r>
      <w:r>
        <w:t xml:space="preserve"> </w:t>
      </w:r>
      <w:r>
        <w:t xml:space="preserve">Donoghue et al. (2020)</w:t>
      </w:r>
      <w:r>
        <w:t xml:space="preserve">, the</w:t>
      </w:r>
      <w:r>
        <w:t xml:space="preserve"> </w:t>
      </w:r>
      <w:r>
        <w:rPr>
          <w:i/>
          <w:iCs/>
        </w:rPr>
        <w:t xml:space="preserve">specparam</w:t>
      </w:r>
      <w:r>
        <w:t xml:space="preserve"> </w:t>
      </w:r>
      <w:r>
        <w:t xml:space="preserve">(formerly FOOOF) method and toolbox decomposes the log power spectrum into an aperiodic component</w:t>
      </w:r>
      <w:r>
        <w:t xml:space="preserve"> </w:t>
      </w:r>
      <m:oMath>
        <m:r>
          <m:t>L</m:t>
        </m:r>
        <m:r>
          <m:rPr>
            <m:sty m:val="p"/>
          </m:rPr>
          <m:t>(</m:t>
        </m:r>
        <m:r>
          <m:t>f</m:t>
        </m:r>
        <m:r>
          <m:rPr>
            <m:sty m:val="p"/>
          </m:rPr>
          <m:t>)</m:t>
        </m:r>
      </m:oMath>
      <w:r>
        <w:t xml:space="preserve"> </w:t>
      </w:r>
      <w:r>
        <w:t xml:space="preserve">and a sum of</w:t>
      </w:r>
      <w:r>
        <w:t xml:space="preserve"> </w:t>
      </w:r>
      <m:oMath>
        <m:r>
          <m:t>N</m:t>
        </m:r>
      </m:oMath>
      <w:r>
        <w:t xml:space="preserve"> </w:t>
      </w:r>
      <w:r>
        <w:t xml:space="preserve">peaks, each modelled as a Gaussian (</w:t>
      </w:r>
      <w:hyperlink w:anchor="fig-specparam">
        <w:r>
          <w:rPr>
            <w:rStyle w:val="Hyperlink"/>
          </w:rPr>
          <w:t xml:space="preserve">Figure 3</w:t>
        </w:r>
      </w:hyperlink>
      <w:r>
        <w:t xml:space="preserve"> </w:t>
      </w:r>
      <w:r>
        <w:t xml:space="preserve">A):</w:t>
      </w:r>
    </w:p>
    <w:p>
      <w:pPr>
        <w:pStyle w:val="BodyText"/>
      </w:pPr>
      <m:oMathPara>
        <m:oMathParaPr>
          <m:jc m:val="center"/>
        </m:oMathParaPr>
        <m:oMath>
          <m:acc>
            <m:accPr>
              <m:chr m:val="̂"/>
            </m:accPr>
            <m:e>
              <m:r>
                <m:t>P</m:t>
              </m:r>
            </m:e>
          </m:acc>
          <m:r>
            <m:rPr>
              <m:sty m:val="p"/>
            </m:rPr>
            <m:t>(</m:t>
          </m:r>
          <m:r>
            <m:t>f</m:t>
          </m:r>
          <m:r>
            <m:rPr>
              <m:sty m:val="p"/>
            </m:rPr>
            <m:t>)</m:t>
          </m:r>
          <m:r>
            <m:rPr>
              <m:sty m:val="p"/>
            </m:rPr>
            <m:t>=</m:t>
          </m:r>
          <m:r>
            <m:t>L</m:t>
          </m:r>
          <m:r>
            <m:rPr>
              <m:sty m:val="p"/>
            </m:rPr>
            <m:t>(</m:t>
          </m:r>
          <m:r>
            <m:t>f</m:t>
          </m:r>
          <m:r>
            <m:rPr>
              <m:sty m:val="p"/>
            </m:rPr>
            <m:t>)</m:t>
          </m:r>
          <m:r>
            <m:rPr>
              <m:sty m:val="p"/>
            </m:rPr>
            <m:t>+</m:t>
          </m:r>
          <m:nary>
            <m:naryPr>
              <m:chr m:val="∑"/>
              <m:limLoc m:val="undOvr"/>
              <m:subHide m:val="off"/>
              <m:supHide m:val="off"/>
            </m:naryPr>
            <m:sub>
              <m:r>
                <m:t>n</m:t>
              </m:r>
              <m:r>
                <m:rPr>
                  <m:sty m:val="p"/>
                </m:rPr>
                <m:t>=</m:t>
              </m:r>
              <m:r>
                <m:t>1</m:t>
              </m:r>
            </m:sub>
            <m:sup>
              <m:r>
                <m:t>N</m:t>
              </m:r>
            </m:sup>
            <m:e>
              <m:sSub>
                <m:e>
                  <m:r>
                    <m:t>a</m:t>
                  </m:r>
                </m:e>
                <m:sub>
                  <m:r>
                    <m:t>n</m:t>
                  </m:r>
                </m:sub>
              </m:sSub>
            </m:e>
          </m:nary>
          <m:r>
            <m:rPr>
              <m:sty m:val="p"/>
            </m:rPr>
            <m:t>exp</m:t>
          </m:r>
          <m:d>
            <m:dPr>
              <m:begChr m:val="("/>
              <m:sepChr m:val=""/>
              <m:endChr m:val=")"/>
              <m:grow/>
            </m:dPr>
            <m:e>
              <m:r>
                <m:rPr>
                  <m:sty m:val="p"/>
                </m:rPr>
                <m:t>−</m:t>
              </m:r>
              <m:f>
                <m:fPr>
                  <m:type m:val="bar"/>
                </m:fPr>
                <m:num>
                  <m:r>
                    <m:rPr>
                      <m:sty m:val="p"/>
                    </m:rPr>
                    <m:t>(</m:t>
                  </m:r>
                  <m:r>
                    <m:t>f</m:t>
                  </m:r>
                  <m:r>
                    <m:rPr>
                      <m:sty m:val="p"/>
                    </m:rPr>
                    <m:t>−</m:t>
                  </m:r>
                  <m:sSub>
                    <m:e>
                      <m:r>
                        <m:t>μ</m:t>
                      </m:r>
                    </m:e>
                    <m:sub>
                      <m:r>
                        <m:t>n</m:t>
                      </m:r>
                    </m:sub>
                  </m:sSub>
                  <m:sSup>
                    <m:e>
                      <m:r>
                        <m:rPr>
                          <m:sty m:val="p"/>
                        </m:rPr>
                        <m:t>)</m:t>
                      </m:r>
                    </m:e>
                    <m:sup>
                      <m:r>
                        <m:t>2</m:t>
                      </m:r>
                    </m:sup>
                  </m:sSup>
                </m:num>
                <m:den>
                  <m:r>
                    <m:t>2</m:t>
                  </m:r>
                  <m:sSubSup>
                    <m:e>
                      <m:r>
                        <m:t>σ</m:t>
                      </m:r>
                    </m:e>
                    <m:sub>
                      <m:r>
                        <m:t>n</m:t>
                      </m:r>
                    </m:sub>
                    <m:sup>
                      <m:r>
                        <m:t>2</m:t>
                      </m:r>
                    </m:sup>
                  </m:sSubSup>
                </m:den>
              </m:f>
            </m:e>
          </m:d>
          <m:r>
            <m:rPr>
              <m:sty m:val="p"/>
            </m:rPr>
            <m:t>,</m:t>
          </m:r>
        </m:oMath>
      </m:oMathPara>
    </w:p>
    <w:p>
      <w:pPr>
        <w:pStyle w:val="FirstParagraph"/>
      </w:pPr>
      <w:r>
        <w:t xml:space="preserve">where each peak</w:t>
      </w:r>
      <w:r>
        <w:t xml:space="preserve"> </w:t>
      </w:r>
      <m:oMath>
        <m:r>
          <m:t>n</m:t>
        </m:r>
      </m:oMath>
      <w:r>
        <w:t xml:space="preserve"> </w:t>
      </w:r>
      <w:r>
        <w:t xml:space="preserve">contributes an amplitude</w:t>
      </w:r>
      <w:r>
        <w:t xml:space="preserve"> </w:t>
      </w:r>
      <m:oMath>
        <m:sSub>
          <m:e>
            <m:r>
              <m:t>a</m:t>
            </m:r>
          </m:e>
          <m:sub>
            <m:r>
              <m:t>n</m:t>
            </m:r>
          </m:sub>
        </m:sSub>
      </m:oMath>
      <w:r>
        <w:t xml:space="preserve">, centre frequency</w:t>
      </w:r>
      <w:r>
        <w:t xml:space="preserve"> </w:t>
      </w:r>
      <m:oMath>
        <m:sSub>
          <m:e>
            <m:r>
              <m:t>μ</m:t>
            </m:r>
          </m:e>
          <m:sub>
            <m:r>
              <m:t>n</m:t>
            </m:r>
          </m:sub>
        </m:sSub>
      </m:oMath>
      <w:r>
        <w:t xml:space="preserve">, and width</w:t>
      </w:r>
      <w:r>
        <w:t xml:space="preserve"> </w:t>
      </w:r>
      <m:oMath>
        <m:sSub>
          <m:e>
            <m:r>
              <m:t>σ</m:t>
            </m:r>
          </m:e>
          <m:sub>
            <m:r>
              <m:t>n</m:t>
            </m:r>
          </m:sub>
        </m:sSub>
      </m:oMath>
      <w:r>
        <w:t xml:space="preserve">.</w:t>
      </w:r>
    </w:p>
    <w:p>
      <w:pPr>
        <w:pStyle w:val="BodyText"/>
      </w:pPr>
      <w:r>
        <w:t xml:space="preserve">We compare two aperiodic modes of fitting. In</w:t>
      </w:r>
      <w:r>
        <w:t xml:space="preserve"> </w:t>
      </w:r>
      <w:r>
        <w:rPr>
          <w:b/>
          <w:bCs/>
        </w:rPr>
        <w:t xml:space="preserve">fixed</w:t>
      </w:r>
      <w:r>
        <w:t xml:space="preserve"> </w:t>
      </w:r>
      <w:r>
        <w:t xml:space="preserve">mode, the aperiodic component is modelled in log-power space as:</w:t>
      </w:r>
    </w:p>
    <w:p>
      <w:pPr>
        <w:pStyle w:val="BodyText"/>
      </w:pPr>
      <m:oMathPara>
        <m:oMathParaPr>
          <m:jc m:val="center"/>
        </m:oMathParaPr>
        <m:oMath>
          <m:sSub>
            <m:e>
              <m:r>
                <m:t>L</m:t>
              </m:r>
            </m:e>
            <m:sub>
              <m:r>
                <m:rPr>
                  <m:sty m:val="p"/>
                </m:rPr>
                <m:t>a</m:t>
              </m:r>
              <m:r>
                <m:rPr>
                  <m:sty m:val="p"/>
                </m:rPr>
                <m:t>p</m:t>
              </m:r>
            </m:sub>
          </m:sSub>
          <m:r>
            <m:rPr>
              <m:sty m:val="p"/>
            </m:rPr>
            <m:t>(</m:t>
          </m:r>
          <m:r>
            <m:t>f</m:t>
          </m:r>
          <m:r>
            <m:rPr>
              <m:sty m:val="p"/>
            </m:rPr>
            <m:t>)</m:t>
          </m:r>
          <m:r>
            <m:rPr>
              <m:sty m:val="p"/>
            </m:rPr>
            <m:t>=</m:t>
          </m:r>
          <m:r>
            <m:t>b</m:t>
          </m:r>
          <m:r>
            <m:rPr>
              <m:sty m:val="p"/>
            </m:rPr>
            <m:t>−</m:t>
          </m:r>
          <m:r>
            <m:t>χ</m:t>
          </m:r>
          <m:r>
            <m:rPr>
              <m:sty m:val="p"/>
            </m:rPr>
            <m:t>⋅</m:t>
          </m:r>
          <m:sSub>
            <m:e>
              <m:r>
                <m:rPr>
                  <m:sty m:val="p"/>
                </m:rPr>
                <m:t>log</m:t>
              </m:r>
            </m:e>
            <m:sub>
              <m:r>
                <m:t>10</m:t>
              </m:r>
            </m:sub>
          </m:sSub>
          <m:r>
            <m:rPr>
              <m:sty m:val="p"/>
            </m:rPr>
            <m:t>(</m:t>
          </m:r>
          <m:r>
            <m:t>f</m:t>
          </m:r>
          <m:r>
            <m:rPr>
              <m:sty m:val="p"/>
            </m:rPr>
            <m:t>)</m:t>
          </m:r>
        </m:oMath>
      </m:oMathPara>
    </w:p>
    <w:p>
      <w:pPr>
        <w:pStyle w:val="FirstParagraph"/>
      </w:pPr>
      <w:r>
        <w:t xml:space="preserve">where the offset</w:t>
      </w:r>
      <w:r>
        <w:t xml:space="preserve"> </w:t>
      </w:r>
      <m:oMath>
        <m:r>
          <m:t>b</m:t>
        </m:r>
      </m:oMath>
      <w:r>
        <w:t xml:space="preserve"> </w:t>
      </w:r>
      <w:r>
        <w:t xml:space="preserve">sets the overall broadband level (the vertical position of the line) and the exponent</w:t>
      </w:r>
      <w:r>
        <w:t xml:space="preserve"> </w:t>
      </w:r>
      <m:oMath>
        <m:r>
          <m:t>χ</m:t>
        </m:r>
      </m:oMath>
      <w:r>
        <w:t xml:space="preserve"> </w:t>
      </w:r>
      <w:r>
        <w:t xml:space="preserve">its slope. In</w:t>
      </w:r>
      <w:r>
        <w:t xml:space="preserve"> </w:t>
      </w:r>
      <w:r>
        <w:rPr>
          <w:b/>
          <w:bCs/>
        </w:rPr>
        <w:t xml:space="preserve">knee</w:t>
      </w:r>
      <w:r>
        <w:t xml:space="preserve"> </w:t>
      </w:r>
      <w:r>
        <w:t xml:space="preserve">mode,</w:t>
      </w:r>
    </w:p>
    <w:p>
      <w:pPr>
        <w:pStyle w:val="BodyText"/>
      </w:pPr>
      <m:oMathPara>
        <m:oMathParaPr>
          <m:jc m:val="center"/>
        </m:oMathParaPr>
        <m:oMath>
          <m:sSub>
            <m:e>
              <m:r>
                <m:t>L</m:t>
              </m:r>
            </m:e>
            <m:sub>
              <m:r>
                <m:rPr>
                  <m:sty m:val="p"/>
                </m:rPr>
                <m:t>a</m:t>
              </m:r>
              <m:r>
                <m:rPr>
                  <m:sty m:val="p"/>
                </m:rPr>
                <m:t>p</m:t>
              </m:r>
            </m:sub>
          </m:sSub>
          <m:r>
            <m:rPr>
              <m:sty m:val="p"/>
            </m:rPr>
            <m:t>(</m:t>
          </m:r>
          <m:r>
            <m:t>f</m:t>
          </m:r>
          <m:r>
            <m:rPr>
              <m:sty m:val="p"/>
            </m:rPr>
            <m:t>)</m:t>
          </m:r>
          <m:r>
            <m:rPr>
              <m:sty m:val="p"/>
            </m:rPr>
            <m:t>=</m:t>
          </m:r>
          <m:r>
            <m:t>b</m:t>
          </m:r>
          <m:r>
            <m:rPr>
              <m:sty m:val="p"/>
            </m:rPr>
            <m:t>−</m:t>
          </m:r>
          <m:sSub>
            <m:e>
              <m:r>
                <m:rPr>
                  <m:sty m:val="p"/>
                </m:rPr>
                <m:t>log</m:t>
              </m:r>
            </m:e>
            <m:sub>
              <m:r>
                <m:t>10</m:t>
              </m:r>
            </m:sub>
          </m:sSub>
          <m:r>
            <m:rPr>
              <m:sty m:val="p"/>
            </m:rPr>
            <m:t>(</m:t>
          </m:r>
          <m:r>
            <m:t>k</m:t>
          </m:r>
          <m:r>
            <m:rPr>
              <m:sty m:val="p"/>
            </m:rPr>
            <m:t>+</m:t>
          </m:r>
          <m:sSup>
            <m:e>
              <m:r>
                <m:t>f</m:t>
              </m:r>
            </m:e>
            <m:sup>
              <m:r>
                <m:t>χ</m:t>
              </m:r>
            </m:sup>
          </m:sSup>
          <m:r>
            <m:rPr>
              <m:sty m:val="p"/>
            </m:rPr>
            <m:t>)</m:t>
          </m:r>
        </m:oMath>
      </m:oMathPara>
    </w:p>
    <w:p>
      <w:pPr>
        <w:pStyle w:val="FirstParagraph"/>
      </w:pPr>
      <w:r>
        <w:t xml:space="preserve">with an additional knee parameter,</w:t>
      </w:r>
      <w:r>
        <w:t xml:space="preserve"> </w:t>
      </w:r>
      <m:oMath>
        <m:r>
          <m:t>k</m:t>
        </m:r>
      </m:oMath>
      <w:r>
        <w:t xml:space="preserve">. Here</w:t>
      </w:r>
      <w:r>
        <w:t xml:space="preserve"> </w:t>
      </w:r>
      <m:oMath>
        <m:r>
          <m:t>k</m:t>
        </m:r>
      </m:oMath>
      <w:r>
        <w:t xml:space="preserve"> </w:t>
      </w:r>
      <w:r>
        <w:t xml:space="preserve">sets both the height of the low-frequency plateau and the corner frequency</w:t>
      </w:r>
      <w:r>
        <w:t xml:space="preserve"> </w:t>
      </w:r>
      <m:oMath>
        <m:sSub>
          <m:e>
            <m:r>
              <m:t>f</m:t>
            </m:r>
          </m:e>
          <m:sub>
            <m:r>
              <m:t>k</m:t>
            </m:r>
          </m:sub>
        </m:sSub>
        <m:r>
          <m:rPr>
            <m:sty m:val="p"/>
          </m:rPr>
          <m:t>=</m:t>
        </m:r>
        <m:sSup>
          <m:e>
            <m:r>
              <m:t>k</m:t>
            </m:r>
          </m:e>
          <m:sup>
            <m:r>
              <m:t>1</m:t>
            </m:r>
            <m:r>
              <m:rPr>
                <m:sty m:val="p"/>
              </m:rPr>
              <m:t>/</m:t>
            </m:r>
            <m:r>
              <m:t>χ</m:t>
            </m:r>
          </m:sup>
        </m:sSup>
      </m:oMath>
      <w:r>
        <w:t xml:space="preserve"> </w:t>
      </w:r>
      <w:r>
        <w:t xml:space="preserve">at which the spectrum bends from flat to</w:t>
      </w:r>
      <w:r>
        <w:t xml:space="preserve"> </w:t>
      </w:r>
      <m:oMath>
        <m:r>
          <m:t>1</m:t>
        </m:r>
        <m:r>
          <m:rPr>
            <m:sty m:val="p"/>
          </m:rPr>
          <m:t>/</m:t>
        </m:r>
        <m:sSup>
          <m:e>
            <m:r>
              <m:t>f</m:t>
            </m:r>
          </m:e>
          <m:sup>
            <m:r>
              <m:t>χ</m:t>
            </m:r>
          </m:sup>
        </m:sSup>
      </m:oMath>
      <w:r>
        <w:t xml:space="preserve"> </w:t>
      </w:r>
      <w:r>
        <w:t xml:space="preserve">behaviour (</w:t>
      </w:r>
      <w:hyperlink w:anchor="fig-knee-misfit">
        <w:r>
          <w:rPr>
            <w:rStyle w:val="Hyperlink"/>
          </w:rPr>
          <w:t xml:space="preserve">Figure 4</w:t>
        </w:r>
      </w:hyperlink>
      <w:r>
        <w:t xml:space="preserve"> </w:t>
      </w:r>
      <w:r>
        <w:t xml:space="preserve">B, C). Fitting the fixed model to a spectrum that has a genuine knee forces a single line through both regimes and biases the exponent low, even when the fit’s</w:t>
      </w:r>
      <w:r>
        <w:t xml:space="preserve"> </w:t>
      </w:r>
      <m:oMath>
        <m:sSup>
          <m:e>
            <m:r>
              <m:t>R</m:t>
            </m:r>
          </m:e>
          <m:sup>
            <m:r>
              <m:t>2</m:t>
            </m:r>
          </m:sup>
        </m:sSup>
      </m:oMath>
      <w:r>
        <w:t xml:space="preserve"> </w:t>
      </w:r>
      <w:r>
        <w:t xml:space="preserve">appears acceptable (</w:t>
      </w:r>
      <w:hyperlink w:anchor="fig-knee-misfit">
        <w:r>
          <w:rPr>
            <w:rStyle w:val="Hyperlink"/>
          </w:rPr>
          <w:t xml:space="preserve">Figure 4</w:t>
        </w:r>
      </w:hyperlink>
      <w:r>
        <w:t xml:space="preserve"> </w:t>
      </w:r>
      <w:r>
        <w:t xml:space="preserve">A); this is what the per-modality model selection below is designed to avoid.</w:t>
      </w:r>
    </w:p>
    <w:tbl>
      <w:tblPr>
        <w:tblStyle w:val="Table"/>
        <w:tblW w:type="pct" w:w="5000"/>
        <w:tblLayout w:type="fixed"/>
        <w:tblLook w:firstRow="0" w:lastRow="0" w:firstColumn="0" w:lastColumn="0" w:noHBand="0" w:noVBand="0" w:val="0000"/>
      </w:tblPr>
      <w:tblGrid>
        <w:gridCol w:w="7920"/>
      </w:tblGrid>
      <w:tr>
        <w:tc>
          <w:tcPr/>
          <w:bookmarkStart w:id="27" w:name="fig-specparam"/>
          <w:p>
            <w:pPr>
              <w:pStyle w:val="Compact"/>
              <w:jc w:val="center"/>
            </w:pPr>
            <w:r>
              <w:drawing>
                <wp:inline>
                  <wp:extent cx="0" cy="0"/>
                  <wp:effectExtent b="0" l="0" r="0" t="0"/>
                  <wp:docPr descr="" title="" id="25" name="Picture"/>
                  <a:graphic>
                    <a:graphicData uri="http://schemas.openxmlformats.org/drawingml/2006/picture">
                      <pic:pic>
                        <pic:nvPicPr>
                          <pic:cNvPr descr="figures/chapter2/diagrams/specparam_parameterization.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0" cy="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Decomposition and aperiodic parameters of the specparam model. (</w:t>
            </w:r>
            <w:r>
              <w:rPr>
                <w:b/>
                <w:bCs/>
              </w:rPr>
              <w:t xml:space="preserve">A</w:t>
            </w:r>
            <w:r>
              <w:t xml:space="preserve">) A single power spectrum (grey) is decomposed into an aperiodic component</w:t>
            </w:r>
            <w:r>
              <w:t xml:space="preserve"> </w:t>
            </w:r>
            <m:oMath>
              <m:r>
                <m:t>L</m:t>
              </m:r>
              <m:r>
                <m:rPr>
                  <m:sty m:val="p"/>
                </m:rPr>
                <m:t>(</m:t>
              </m:r>
              <m:r>
                <m:t>f</m:t>
              </m:r>
              <m:r>
                <m:rPr>
                  <m:sty m:val="p"/>
                </m:rPr>
                <m:t>)</m:t>
              </m:r>
            </m:oMath>
            <w:r>
              <w:t xml:space="preserve"> </w:t>
            </w:r>
            <w:r>
              <w:t xml:space="preserve">(blue dashed) and a set of Gaussian peaks capturing periodic activity; their sum is the full model fit (teal). The offset</w:t>
            </w:r>
            <w:r>
              <w:t xml:space="preserve"> </w:t>
            </w:r>
            <m:oMath>
              <m:r>
                <m:t>b</m:t>
              </m:r>
            </m:oMath>
            <w:r>
              <w:t xml:space="preserve"> </w:t>
            </w:r>
            <w:r>
              <w:t xml:space="preserve">(orange) sets the broadband level at low frequency. (</w:t>
            </w:r>
            <w:r>
              <w:rPr>
                <w:b/>
                <w:bCs/>
              </w:rPr>
              <w:t xml:space="preserve">B</w:t>
            </w:r>
            <w:r>
              <w:t xml:space="preserve">) The aperiodic component alone (fixed mode,</w:t>
            </w:r>
            <w:r>
              <w:t xml:space="preserve"> </w:t>
            </w:r>
            <m:oMath>
              <m:r>
                <m:t>k</m:t>
              </m:r>
              <m:r>
                <m:rPr>
                  <m:sty m:val="p"/>
                </m:rPr>
                <m:t>=</m:t>
              </m:r>
              <m:r>
                <m:t>0</m:t>
              </m:r>
            </m:oMath>
            <w:r>
              <w:t xml:space="preserve">): increasing the exponent</w:t>
            </w:r>
            <w:r>
              <w:t xml:space="preserve"> </w:t>
            </w:r>
            <m:oMath>
              <m:r>
                <m:t>χ</m:t>
              </m:r>
            </m:oMath>
            <w:r>
              <w:t xml:space="preserve"> </w:t>
            </w:r>
            <w:r>
              <w:t xml:space="preserve">steepens the slope, rotating the line about a pivot frequency, while decreasing it flattens the spectrum. (</w:t>
            </w:r>
            <w:r>
              <w:rPr>
                <w:b/>
                <w:bCs/>
              </w:rPr>
              <w:t xml:space="preserve">C</w:t>
            </w:r>
            <w:r>
              <w:t xml:space="preserve">) Varying the offset</w:t>
            </w:r>
            <w:r>
              <w:t xml:space="preserve"> </w:t>
            </w:r>
            <m:oMath>
              <m:r>
                <m:t>b</m:t>
              </m:r>
            </m:oMath>
            <w:r>
              <w:t xml:space="preserve"> </w:t>
            </w:r>
            <w:r>
              <w:t xml:space="preserve">shifts the aperiodic line vertically in parallel, raising or lowering broadband power without changing the slope.</w:t>
            </w:r>
          </w:p>
          <w:bookmarkEnd w:id="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1" w:name="fig-knee-misfit"/>
          <w:p>
            <w:pPr>
              <w:pStyle w:val="Compact"/>
              <w:jc w:val="center"/>
            </w:pPr>
            <w:r>
              <w:drawing>
                <wp:inline>
                  <wp:extent cx="5334000" cy="1934398"/>
                  <wp:effectExtent b="0" l="0" r="0" t="0"/>
                  <wp:docPr descr="" title="" id="29" name="Picture"/>
                  <a:graphic>
                    <a:graphicData uri="http://schemas.openxmlformats.org/drawingml/2006/picture">
                      <pic:pic>
                        <pic:nvPicPr>
                          <pic:cNvPr descr="figures/chapter2/diagrams/knee_misfit_combined.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193439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Geometry of the knee aperiodic model and the consequence of omitting it. All curves are real specparam fits to simulated spectra. (</w:t>
            </w:r>
            <w:r>
              <w:rPr>
                <w:b/>
                <w:bCs/>
              </w:rPr>
              <w:t xml:space="preserve">A</w:t>
            </w:r>
            <w:r>
              <w:t xml:space="preserve">) A spectrum generated with a genuine knee (true</w:t>
            </w:r>
            <w:r>
              <w:t xml:space="preserve"> </w:t>
            </w:r>
            <m:oMath>
              <m:sSub>
                <m:e>
                  <m:r>
                    <m:t>f</m:t>
                  </m:r>
                </m:e>
                <m:sub>
                  <m:r>
                    <m:t>k</m:t>
                  </m:r>
                </m:sub>
              </m:sSub>
              <m:r>
                <m:rPr>
                  <m:sty m:val="p"/>
                </m:rPr>
                <m:t>=</m:t>
              </m:r>
              <m:r>
                <m:t>10</m:t>
              </m:r>
            </m:oMath>
            <w:r>
              <w:t xml:space="preserve"> </w:t>
            </w:r>
            <w:r>
              <w:t xml:space="preserve">Hz) fit in both modes. The knee model recovers the generating exponent (</w:t>
            </w:r>
            <m:oMath>
              <m:acc>
                <m:accPr>
                  <m:chr m:val="̂"/>
                </m:accPr>
                <m:e>
                  <m:r>
                    <m:t>χ</m:t>
                  </m:r>
                </m:e>
              </m:acc>
              <m:r>
                <m:rPr>
                  <m:sty m:val="p"/>
                </m:rPr>
                <m:t>=</m:t>
              </m:r>
              <m:r>
                <m:t>2.0</m:t>
              </m:r>
            </m:oMath>
            <w:r>
              <w:t xml:space="preserve">), whereas the fixed model, lacking a plateau term, pivots a single line through plateau and slope and misestimates the exponent, despite an apparently acceptable</w:t>
            </w:r>
            <w:r>
              <w:t xml:space="preserve"> </w:t>
            </w:r>
            <m:oMath>
              <m:sSup>
                <m:e>
                  <m:r>
                    <m:t>R</m:t>
                  </m:r>
                </m:e>
                <m:sup>
                  <m:r>
                    <m:t>2</m:t>
                  </m:r>
                </m:sup>
              </m:sSup>
            </m:oMath>
            <w:r>
              <w:t xml:space="preserve">. (</w:t>
            </w:r>
            <w:r>
              <w:rPr>
                <w:b/>
                <w:bCs/>
              </w:rPr>
              <w:t xml:space="preserve">B</w:t>
            </w:r>
            <w:r>
              <w:t xml:space="preserve">) Effect of the knee parameter</w:t>
            </w:r>
            <w:r>
              <w:t xml:space="preserve"> </w:t>
            </w:r>
            <m:oMath>
              <m:r>
                <m:t>k</m:t>
              </m:r>
            </m:oMath>
            <w:r>
              <w:t xml:space="preserve"> </w:t>
            </w:r>
            <w:r>
              <w:t xml:space="preserve">at fixed exponent: larger</w:t>
            </w:r>
            <w:r>
              <w:t xml:space="preserve"> </w:t>
            </w:r>
            <m:oMath>
              <m:r>
                <m:t>k</m:t>
              </m:r>
            </m:oMath>
            <w:r>
              <w:t xml:space="preserve"> </w:t>
            </w:r>
            <w:r>
              <w:t xml:space="preserve">lowers the plateau and shifts the corner frequency</w:t>
            </w:r>
            <w:r>
              <w:t xml:space="preserve"> </w:t>
            </w:r>
            <m:oMath>
              <m:sSub>
                <m:e>
                  <m:r>
                    <m:t>f</m:t>
                  </m:r>
                </m:e>
                <m:sub>
                  <m:r>
                    <m:t>k</m:t>
                  </m:r>
                </m:sub>
              </m:sSub>
            </m:oMath>
            <w:r>
              <w:t xml:space="preserve"> </w:t>
            </w:r>
            <w:r>
              <w:t xml:space="preserve">to higher values, while the high-frequency slope is unchanged. (</w:t>
            </w:r>
            <w:r>
              <w:rPr>
                <w:b/>
                <w:bCs/>
              </w:rPr>
              <w:t xml:space="preserve">C</w:t>
            </w:r>
            <w:r>
              <w:t xml:space="preserve">) Effect of the exponent</w:t>
            </w:r>
            <w:r>
              <w:t xml:space="preserve"> </w:t>
            </w:r>
            <m:oMath>
              <m:r>
                <m:t>χ</m:t>
              </m:r>
            </m:oMath>
            <w:r>
              <w:t xml:space="preserve"> </w:t>
            </w:r>
            <w:r>
              <w:t xml:space="preserve">at fixed knee:</w:t>
            </w:r>
            <w:r>
              <w:t xml:space="preserve"> </w:t>
            </w:r>
            <m:oMath>
              <m:r>
                <m:t>χ</m:t>
              </m:r>
            </m:oMath>
            <w:r>
              <w:t xml:space="preserve"> </w:t>
            </w:r>
            <w:r>
              <w:t xml:space="preserve">sets the high-frequency slope while the low-frequency plateau (</w:t>
            </w:r>
            <m:oMath>
              <m:r>
                <m:t>b</m:t>
              </m:r>
              <m:r>
                <m:rPr>
                  <m:sty m:val="p"/>
                </m:rPr>
                <m:t>−</m:t>
              </m:r>
              <m:sSub>
                <m:e>
                  <m:r>
                    <m:rPr>
                      <m:sty m:val="p"/>
                    </m:rPr>
                    <m:t>log</m:t>
                  </m:r>
                </m:e>
                <m:sub>
                  <m:r>
                    <m:t>10</m:t>
                  </m:r>
                </m:sub>
              </m:sSub>
              <m:r>
                <m:t>k</m:t>
              </m:r>
            </m:oMath>
            <w:r>
              <w:t xml:space="preserve">) is shared.</w:t>
            </w:r>
          </w:p>
          <w:bookmarkEnd w:id="31"/>
        </w:tc>
      </w:tr>
    </w:tbl>
    <w:bookmarkEnd w:id="32"/>
    <w:bookmarkStart w:id="33" w:name="sec-aperiodic-selection"/>
    <w:p>
      <w:pPr>
        <w:pStyle w:val="Heading3"/>
      </w:pPr>
      <w:r>
        <w:t xml:space="preserve">Choice of aperiodic fitting mode</w:t>
      </w:r>
    </w:p>
    <w:p>
      <w:pPr>
        <w:pStyle w:val="FirstParagraph"/>
      </w:pPr>
      <w:r>
        <w:t xml:space="preserve">Rather than choosing the aperiodic mode by inspection, we selected it per modality with the Bayesian Information Criterion, following</w:t>
      </w:r>
      <w:r>
        <w:t xml:space="preserve"> </w:t>
      </w:r>
      <w:r>
        <w:t xml:space="preserve">Ameen et al. (2025)</w:t>
      </w:r>
      <w:r>
        <w:t xml:space="preserve">:</w:t>
      </w:r>
    </w:p>
    <w:p>
      <w:pPr>
        <w:pStyle w:val="BodyText"/>
      </w:pPr>
      <m:oMathPara>
        <m:oMathParaPr>
          <m:jc m:val="center"/>
        </m:oMathParaPr>
        <m:oMath>
          <m:r>
            <m:rPr>
              <m:sty m:val="p"/>
            </m:rPr>
            <m:t>B</m:t>
          </m:r>
          <m:r>
            <m:rPr>
              <m:sty m:val="p"/>
            </m:rPr>
            <m:t>I</m:t>
          </m:r>
          <m:r>
            <m:rPr>
              <m:sty m:val="p"/>
            </m:rPr>
            <m:t>C</m:t>
          </m:r>
          <m:r>
            <m:rPr>
              <m:sty m:val="p"/>
            </m:rPr>
            <m:t>=</m:t>
          </m:r>
          <m:r>
            <m:t>N</m:t>
          </m:r>
          <m:r>
            <m:rPr>
              <m:sty m:val="p"/>
            </m:rPr>
            <m:t>log</m:t>
          </m:r>
          <m:r>
            <m:rPr>
              <m:sty m:val="p"/>
            </m:rPr>
            <m:t>(</m:t>
          </m:r>
          <m:r>
            <m:rPr>
              <m:sty m:val="p"/>
            </m:rPr>
            <m:t>M</m:t>
          </m:r>
          <m:r>
            <m:rPr>
              <m:sty m:val="p"/>
            </m:rPr>
            <m:t>S</m:t>
          </m:r>
          <m:r>
            <m:rPr>
              <m:sty m:val="p"/>
            </m:rPr>
            <m:t>E</m:t>
          </m:r>
          <m:r>
            <m:rPr>
              <m:sty m:val="p"/>
            </m:rPr>
            <m:t>)</m:t>
          </m:r>
          <m:r>
            <m:rPr>
              <m:sty m:val="p"/>
            </m:rPr>
            <m:t>+</m:t>
          </m:r>
          <m:sSub>
            <m:e>
              <m:r>
                <m:t>n</m:t>
              </m:r>
            </m:e>
            <m:sub>
              <m:r>
                <m:t>p</m:t>
              </m:r>
            </m:sub>
          </m:sSub>
          <m:r>
            <m:rPr>
              <m:sty m:val="p"/>
            </m:rPr>
            <m:t>log</m:t>
          </m:r>
          <m:r>
            <m:rPr>
              <m:sty m:val="p"/>
            </m:rPr>
            <m:t>(</m:t>
          </m:r>
          <m:r>
            <m:t>N</m:t>
          </m:r>
          <m:r>
            <m:rPr>
              <m:sty m:val="p"/>
            </m:rPr>
            <m:t>)</m:t>
          </m:r>
          <m:r>
            <m:rPr>
              <m:sty m:val="p"/>
            </m:rPr>
            <m:t>,</m:t>
          </m:r>
        </m:oMath>
      </m:oMathPara>
    </w:p>
    <w:p>
      <w:pPr>
        <w:pStyle w:val="FirstParagraph"/>
      </w:pPr>
      <w:r>
        <w:t xml:space="preserve">with</w:t>
      </w:r>
      <w:r>
        <w:t xml:space="preserve"> </w:t>
      </w:r>
      <m:oMath>
        <m:r>
          <m:t>N</m:t>
        </m:r>
      </m:oMath>
      <w:r>
        <w:t xml:space="preserve"> </w:t>
      </w:r>
      <w:r>
        <w:t xml:space="preserve">the number of fitted bins, MSE the full-model log-power residual, and</w:t>
      </w:r>
      <w:r>
        <w:t xml:space="preserve"> </w:t>
      </w:r>
      <m:oMath>
        <m:sSub>
          <m:e>
            <m:r>
              <m:t>n</m:t>
            </m:r>
          </m:e>
          <m:sub>
            <m:r>
              <m:t>p</m:t>
            </m:r>
          </m:sub>
        </m:sSub>
      </m:oMath>
      <w:r>
        <w:t xml:space="preserve"> </w:t>
      </w:r>
      <w:r>
        <w:t xml:space="preserve">the free-parameter count. Because BIC can favour the knee on a negligible gain, we read it alongside raw fit quality (median</w:t>
      </w:r>
      <w:r>
        <w:t xml:space="preserve"> </w:t>
      </w:r>
      <m:oMath>
        <m:sSup>
          <m:e>
            <m:r>
              <m:t>R</m:t>
            </m:r>
          </m:e>
          <m:sup>
            <m:r>
              <m:t>2</m:t>
            </m:r>
          </m:sup>
        </m:sSup>
      </m:oMath>
      <w:r>
        <w:t xml:space="preserve">, median MSE) rather than alone. Both modes were fit to every channel with identical peak settings and range and compared per spectrum. Channels are nested within patients (iEEG) or subjects (HD-EEG), so we report subject-clustered percentile bootstrap CIs (10,000 resamples) for inference; the gap from the naive channel-level interval indexes the pseudoreplication, severe in the 19-subject HD-EEG data.</w:t>
      </w:r>
    </w:p>
    <w:p>
      <w:pPr>
        <w:pStyle w:val="BodyText"/>
      </w:pPr>
      <w:r>
        <w:t xml:space="preserve">Fitting was done in range 1-80 Hz; peak width 1.0-8.0 Hz; maximum 8 peaks; minimum peak height 0.1 (log power); peak threshold 3.0 SD of the residual.</w:t>
      </w:r>
    </w:p>
    <w:p>
      <w:pPr>
        <w:pStyle w:val="BodyText"/>
      </w:pPr>
      <w:r>
        <w:t xml:space="preserve">In the iEEG atlas the knee improved fit substantially (median</w:t>
      </w:r>
      <w:r>
        <w:t xml:space="preserve"> </w:t>
      </w:r>
      <m:oMath>
        <m:sSup>
          <m:e>
            <m:r>
              <m:t>R</m:t>
            </m:r>
          </m:e>
          <m:sup>
            <m:r>
              <m:t>2</m:t>
            </m:r>
          </m:sup>
        </m:sSup>
      </m:oMath>
      <w:r>
        <w:t xml:space="preserve"> </w:t>
      </w:r>
      <w:r>
        <w:t xml:space="preserve">0.93→0.98, MSE − 77%) and was preferred on every measure (median</w:t>
      </w:r>
      <w:r>
        <w:t xml:space="preserve"> </w:t>
      </w:r>
      <m:oMath>
        <m:r>
          <m:rPr>
            <m:sty m:val="p"/>
          </m:rPr>
          <m:t>Δ</m:t>
        </m:r>
      </m:oMath>
      <w:r>
        <w:t xml:space="preserve">BIC −225; 96% of channels strong-knee). In source HD-EEG the gain was marginal (median</w:t>
      </w:r>
      <w:r>
        <w:t xml:space="preserve"> </w:t>
      </w:r>
      <m:oMath>
        <m:sSup>
          <m:e>
            <m:r>
              <m:t>R</m:t>
            </m:r>
          </m:e>
          <m:sup>
            <m:r>
              <m:t>2</m:t>
            </m:r>
          </m:sup>
        </m:sSup>
      </m:oMath>
      <w:r>
        <w:t xml:space="preserve"> </w:t>
      </w:r>
      <w:r>
        <w:t xml:space="preserve">0.942→0.948, MSE −7%): the median</w:t>
      </w:r>
      <w:r>
        <w:t xml:space="preserve"> </w:t>
      </w:r>
      <m:oMath>
        <m:r>
          <m:rPr>
            <m:sty m:val="p"/>
          </m:rPr>
          <m:t>Δ</m:t>
        </m:r>
      </m:oMath>
      <w:r>
        <w:t xml:space="preserve">BIC was formally</w:t>
      </w:r>
      <w:r>
        <w:t xml:space="preserve"> </w:t>
      </w:r>
      <w:r>
        <w:t xml:space="preserve">‘strong’</w:t>
      </w:r>
      <w:r>
        <w:t xml:space="preserve"> </w:t>
      </w:r>
      <w:r>
        <w:t xml:space="preserve">(−7.7), but</w:t>
      </w:r>
      <w:r>
        <w:t xml:space="preserve"> </w:t>
      </w:r>
      <w:r>
        <w:t xml:space="preserve">this follows from the</w:t>
      </w:r>
      <w:r>
        <w:t xml:space="preserve"> </w:t>
      </w:r>
      <m:oMath>
        <m:r>
          <m:t>N</m:t>
        </m:r>
        <m:r>
          <m:rPr>
            <m:sty m:val="p"/>
          </m:rPr>
          <m:t>log</m:t>
        </m:r>
        <m:r>
          <m:rPr>
            <m:sty m:val="p"/>
          </m:rPr>
          <m:t>(</m:t>
        </m:r>
        <m:r>
          <m:rPr>
            <m:sty m:val="p"/>
          </m:rPr>
          <m:t>M</m:t>
        </m:r>
        <m:r>
          <m:rPr>
            <m:sty m:val="p"/>
          </m:rPr>
          <m:t>S</m:t>
        </m:r>
        <m:r>
          <m:rPr>
            <m:sty m:val="p"/>
          </m:rPr>
          <m:t>E</m:t>
        </m:r>
        <m:r>
          <m:rPr>
            <m:sty m:val="p"/>
          </m:rPr>
          <m:t>)</m:t>
        </m:r>
      </m:oMath>
      <w:r>
        <w:t xml:space="preserve"> </w:t>
      </w:r>
      <w:r>
        <w:t xml:space="preserve">term — at</w:t>
      </w:r>
      <w:r>
        <w:t xml:space="preserve"> </w:t>
      </w:r>
      <m:oMath>
        <m:r>
          <m:t>N</m:t>
        </m:r>
        <m:r>
          <m:rPr>
            <m:sty m:val="p"/>
          </m:rPr>
          <m:t>=</m:t>
        </m:r>
        <m:r>
          <m:t>159</m:t>
        </m:r>
      </m:oMath>
      <w:r>
        <w:t xml:space="preserve"> </w:t>
      </w:r>
      <w:r>
        <w:t xml:space="preserve">bins a 7% MSE reduction clears the threshold once the extra parameter is paid — and the</w:t>
      </w:r>
      <w:r>
        <w:t xml:space="preserve"> </w:t>
      </w:r>
      <w:r>
        <w:t xml:space="preserve">preference collapses toward zero under subject clustering. We therefore retain the knee for iEEG and the fixed model for HD-EEG, the latter consistent with convention for source-reconstructed scalp data</w:t>
      </w:r>
      <w:r>
        <w:t xml:space="preserve"> </w:t>
      </w:r>
      <w:r>
        <w:t xml:space="preserve">(Donoghue et al. 2020)</w:t>
      </w:r>
      <w:r>
        <w:t xml:space="preserve">.</w:t>
      </w:r>
    </w:p>
    <w:bookmarkEnd w:id="33"/>
    <w:bookmarkEnd w:id="34"/>
    <w:bookmarkStart w:id="38" w:name="X9c99bf48543adc1b52cc3f828603f5cf51f4b9c"/>
    <w:p>
      <w:pPr>
        <w:pStyle w:val="Heading2"/>
      </w:pPr>
      <w:r>
        <w:t xml:space="preserve">Normalized relative-power maps before and after broadband component removal</w:t>
      </w:r>
    </w:p>
    <w:p>
      <w:pPr>
        <w:pStyle w:val="FirstParagraph"/>
      </w:pPr>
      <w:r>
        <w:t xml:space="preserve">As a second description, we mapped each region’s normalized PSD onto the canonical bands and the intervals defined in</w:t>
      </w:r>
      <w:r>
        <w:t xml:space="preserve"> </w:t>
      </w:r>
      <w:hyperlink w:anchor="sec-clustering">
        <w:r>
          <w:rPr>
            <w:rStyle w:val="Hyperlink"/>
          </w:rPr>
          <w:t xml:space="preserve">Section 2.2</w:t>
        </w:r>
      </w:hyperlink>
      <w:r>
        <w:t xml:space="preserve"> </w:t>
      </w:r>
      <w:r>
        <w:t xml:space="preserve">and took relative band power per region. We compute this descriptor in two states — on the uncorrected spectra (here) and on the specparam aperiodic-removed residual (</w:t>
      </w:r>
      <w:r>
        <w:rPr>
          <w:b/>
          <w:bCs/>
        </w:rPr>
        <w:t xml:space="preserve">?@sec-relpower-removed</w:t>
      </w:r>
      <w:r>
        <w:t xml:space="preserve">), so the contrast isolates how much cross-modal agreement the broadband background carries.</w:t>
      </w:r>
    </w:p>
    <w:p>
      <w:pPr>
        <w:pStyle w:val="BodyText"/>
      </w:pPr>
      <w:r>
        <w:t xml:space="preserve">We summarize these maps in two complementary ways. To preview the spatial distribution of power, we display the median relative band power per region as region × band heatmaps, computed separately for the five canonical bands and the 22 intervals. To assess cross-modal agreement, we then correlate the regional relative power between modalities band by band (Pearson across bilateral regions) and, as a complement, compare the two regional PSDs with the band-overlap metric of</w:t>
      </w:r>
      <w:r>
        <w:t xml:space="preserve"> </w:t>
      </w:r>
      <w:hyperlink w:anchor="sec-overlap">
        <w:r>
          <w:rPr>
            <w:rStyle w:val="Hyperlink"/>
          </w:rPr>
          <w:t xml:space="preserve">Section 2.4.1</w:t>
        </w:r>
      </w:hyperlink>
      <w:r>
        <w:t xml:space="preserve">.</w:t>
      </w:r>
    </w:p>
    <w:p>
      <w:pPr>
        <w:pStyle w:val="BodyText"/>
      </w:pPr>
      <w:r>
        <w:t xml:space="preserve">Relative band power does not separate the rhythmic peak from the aperiodic background. A region can show high relative band power because it has a strong rhythm or because its background is steep in that band</w:t>
      </w:r>
      <w:r>
        <w:t xml:space="preserve"> </w:t>
      </w:r>
      <w:r>
        <w:t xml:space="preserve">(Donoghue et al. 2020; Castanheira et al. 2026)</w:t>
      </w:r>
      <w:r>
        <w:t xml:space="preserve">. We report the cross-modal correlations of these maps as descriptive measures of spatial agreement.</w:t>
      </w:r>
      <w:r>
        <w:t xml:space="preserve"> </w:t>
      </w:r>
    </w:p>
    <w:bookmarkStart w:id="35" w:name="sec-overlap"/>
    <w:p>
      <w:pPr>
        <w:pStyle w:val="Heading3"/>
      </w:pPr>
      <w:r>
        <w:t xml:space="preserve">Cross-modal correspondence on relative PSD spectra</w:t>
      </w:r>
    </w:p>
    <w:p>
      <w:pPr>
        <w:pStyle w:val="FirstParagraph"/>
      </w:pPr>
      <w:r>
        <w:t xml:space="preserve">We quantified cross-modal agreement of the regional band-power maps in two complementary ways. First, for each canonical band we correlated the per-region relative power between modalities across the 38 bilateral regions (Pearson, source HD-EEG against the iEEG atlas). We treat these correlations descriptively, for two reasons. The 38 regions are not independent observations — neighbouring regions are spatially correlated and channels are nested within subjects — so naive correlation p-values would overstate significance. And because relative band powers are compositional (the bands sum to a fixed total per channel), a correlation computed on the raw proportions is subcompositionally incoherent: its value depends on which bands are included and on the normalisation</w:t>
      </w:r>
      <w:r>
        <w:t xml:space="preserve"> </w:t>
      </w:r>
      <w:r>
        <w:t xml:space="preserve">(Filzmoser and Hron 2012)</w:t>
      </w:r>
      <w:r>
        <w:t xml:space="preserve">, so the five per-band coefficients cannot be read as independent tests. We therefore base formal cross-modal inference on the subject-clustered bootstrap of the band-overlap (below) and on the aperiodic-separated peak descriptors (</w:t>
      </w:r>
      <w:r>
        <w:rPr>
          <w:b/>
          <w:bCs/>
        </w:rPr>
        <w:t xml:space="preserve">?@sec-peaks</w:t>
      </w:r>
      <w:r>
        <w:t xml:space="preserve">).</w:t>
      </w:r>
    </w:p>
    <w:p>
      <w:pPr>
        <w:pStyle w:val="BodyText"/>
      </w:pPr>
      <w:r>
        <w:t xml:space="preserve">Second, we quantified cross-modal agreement directly on the unit-power spectra using the band-overlap metric of</w:t>
      </w:r>
      <w:r>
        <w:t xml:space="preserve"> </w:t>
      </w:r>
      <w:r>
        <w:t xml:space="preserve">Afnan et al.</w:t>
      </w:r>
      <w:r>
        <w:t xml:space="preserve"> </w:t>
      </w:r>
      <w:r>
        <w:t xml:space="preserve">(2023)</w:t>
      </w:r>
      <w:r>
        <w:t xml:space="preserve">. Channels were pooled across hemispheres by grouping on the hemisphere-agnostic MICCAI region name, collapsing left and right ROIs into the 38 bilateral regions of the atlas. Within each region</w:t>
      </w:r>
      <w:r>
        <w:t xml:space="preserve"> </w:t>
      </w:r>
      <m:oMath>
        <m:r>
          <m:t>r</m:t>
        </m:r>
      </m:oMath>
      <w:r>
        <w:t xml:space="preserve"> </w:t>
      </w:r>
      <w:r>
        <w:t xml:space="preserve">we treated the iEEG atlas as the reference modality and the source HD-EEG as the estimated modality. Let</w:t>
      </w:r>
      <w:r>
        <w:t xml:space="preserve"> </w:t>
      </w:r>
      <m:oMath>
        <m:sSubSup>
          <m:e>
            <m:acc>
              <m:accPr>
                <m:chr m:val="̃"/>
              </m:accPr>
              <m:e>
                <m:r>
                  <m:t>P</m:t>
                </m:r>
              </m:e>
            </m:acc>
          </m:e>
          <m:sub>
            <m:r>
              <m:t>r</m:t>
            </m:r>
          </m:sub>
          <m:sup>
            <m:r>
              <m:rPr>
                <m:sty m:val="p"/>
              </m:rPr>
              <m:t>,</m:t>
            </m:r>
            <m:r>
              <m:rPr>
                <m:nor/>
                <m:sty m:val="p"/>
              </m:rPr>
              <m:t>iEEG</m:t>
            </m:r>
          </m:sup>
        </m:sSubSup>
        <m:r>
          <m:rPr>
            <m:sty m:val="p"/>
          </m:rPr>
          <m:t>(</m:t>
        </m:r>
        <m:r>
          <m:t>f</m:t>
        </m:r>
        <m:r>
          <m:rPr>
            <m:sty m:val="p"/>
          </m:rPr>
          <m:t>)</m:t>
        </m:r>
      </m:oMath>
      <w:r>
        <w:t xml:space="preserve"> </w:t>
      </w:r>
      <w:r>
        <w:t xml:space="preserve">and</w:t>
      </w:r>
      <w:r>
        <w:t xml:space="preserve"> </w:t>
      </w:r>
      <m:oMath>
        <m:sSubSup>
          <m:e>
            <m:acc>
              <m:accPr>
                <m:chr m:val="̃"/>
              </m:accPr>
              <m:e>
                <m:r>
                  <m:t>P</m:t>
                </m:r>
              </m:e>
            </m:acc>
          </m:e>
          <m:sub>
            <m:r>
              <m:t>r</m:t>
            </m:r>
          </m:sub>
          <m:sup>
            <m:r>
              <m:rPr>
                <m:sty m:val="p"/>
              </m:rPr>
              <m:t>,</m:t>
            </m:r>
            <m:r>
              <m:rPr>
                <m:nor/>
                <m:sty m:val="p"/>
              </m:rPr>
              <m:t>HD</m:t>
            </m:r>
          </m:sup>
        </m:sSubSup>
        <m:r>
          <m:rPr>
            <m:sty m:val="p"/>
          </m:rPr>
          <m:t>(</m:t>
        </m:r>
        <m:r>
          <m:t>f</m:t>
        </m:r>
        <m:r>
          <m:rPr>
            <m:sty m:val="p"/>
          </m:rPr>
          <m:t>)</m:t>
        </m:r>
      </m:oMath>
      <w:r>
        <w:t xml:space="preserve"> </w:t>
      </w:r>
      <w:r>
        <w:t xml:space="preserve">denote the median relative PSD across the channels of region</w:t>
      </w:r>
      <w:r>
        <w:t xml:space="preserve"> </w:t>
      </w:r>
      <m:oMath>
        <m:r>
          <m:t>r</m:t>
        </m:r>
      </m:oMath>
      <w:r>
        <w:t xml:space="preserve"> </w:t>
      </w:r>
      <w:r>
        <w:t xml:space="preserve">at frequency bin</w:t>
      </w:r>
      <w:r>
        <w:t xml:space="preserve"> </w:t>
      </w:r>
      <m:oMath>
        <m:r>
          <m:t>f</m:t>
        </m:r>
      </m:oMath>
      <w:r>
        <w:t xml:space="preserve">, and</w:t>
      </w:r>
      <w:r>
        <w:t xml:space="preserve"> </w:t>
      </w:r>
      <m:oMath>
        <m:sSubSup>
          <m:e>
            <m:r>
              <m:rPr>
                <m:nor/>
                <m:sty m:val="p"/>
              </m:rPr>
              <m:t>SD</m:t>
            </m:r>
          </m:e>
          <m:sub>
            <m:r>
              <m:t>r</m:t>
            </m:r>
          </m:sub>
          <m:sup>
            <m:r>
              <m:rPr>
                <m:sty m:val="p"/>
              </m:rPr>
              <m:t>,</m:t>
            </m:r>
            <m:r>
              <m:rPr>
                <m:nor/>
                <m:sty m:val="p"/>
              </m:rPr>
              <m:t>HD</m:t>
            </m:r>
          </m:sup>
        </m:sSubSup>
        <m:r>
          <m:rPr>
            <m:sty m:val="p"/>
          </m:rPr>
          <m:t>(</m:t>
        </m:r>
        <m:r>
          <m:t>f</m:t>
        </m:r>
        <m:r>
          <m:rPr>
            <m:sty m:val="p"/>
          </m:rPr>
          <m:t>)</m:t>
        </m:r>
      </m:oMath>
      <w:r>
        <w:t xml:space="preserve"> </w:t>
      </w:r>
      <w:r>
        <w:t xml:space="preserve">the standard deviation of the estimated (HD-EEG) relative PSD across those channels. The bin-wise overlap is</w:t>
      </w:r>
    </w:p>
    <w:p>
      <w:pPr>
        <w:pStyle w:val="BodyText"/>
      </w:pPr>
      <m:oMathPara>
        <m:oMathParaPr>
          <m:jc m:val="center"/>
        </m:oMathParaPr>
        <m:oMath>
          <m:sSub>
            <m:e>
              <m:r>
                <m:rPr>
                  <m:nor/>
                  <m:sty m:val="p"/>
                </m:rPr>
                <m:t>overlap</m:t>
              </m:r>
            </m:e>
            <m:sub>
              <m:r>
                <m:t>r</m:t>
              </m:r>
            </m:sub>
          </m:sSub>
          <m:r>
            <m:rPr>
              <m:sty m:val="p"/>
            </m:rPr>
            <m:t>(</m:t>
          </m:r>
          <m:r>
            <m:t>f</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f>
                      <m:fPr>
                        <m:type m:val="bar"/>
                      </m:fPr>
                      <m:num>
                        <m:d>
                          <m:dPr>
                            <m:begChr m:val="|"/>
                            <m:sepChr m:val=""/>
                            <m:endChr m:val="|"/>
                            <m:grow/>
                          </m:dPr>
                          <m:e>
                            <m:sSubSup>
                              <m:e>
                                <m:acc>
                                  <m:accPr>
                                    <m:chr m:val="̃"/>
                                  </m:accPr>
                                  <m:e>
                                    <m:r>
                                      <m:t>L</m:t>
                                    </m:r>
                                  </m:e>
                                </m:acc>
                              </m:e>
                              <m:sub>
                                <m:r>
                                  <m:t>r</m:t>
                                </m:r>
                              </m:sub>
                              <m:sup>
                                <m:r>
                                  <m:t> </m:t>
                                </m:r>
                                <m:r>
                                  <m:rPr>
                                    <m:nor/>
                                    <m:sty m:val="p"/>
                                  </m:rPr>
                                  <m:t>iEEG</m:t>
                                </m:r>
                              </m:sup>
                            </m:sSubSup>
                            <m:r>
                              <m:rPr>
                                <m:sty m:val="p"/>
                              </m:rPr>
                              <m:t>(</m:t>
                            </m:r>
                            <m:r>
                              <m:t>f</m:t>
                            </m:r>
                            <m:r>
                              <m:rPr>
                                <m:sty m:val="p"/>
                              </m:rPr>
                              <m:t>)</m:t>
                            </m:r>
                            <m:r>
                              <m:rPr>
                                <m:sty m:val="p"/>
                              </m:rPr>
                              <m:t>−</m:t>
                            </m:r>
                            <m:sSubSup>
                              <m:e>
                                <m:acc>
                                  <m:accPr>
                                    <m:chr m:val="̃"/>
                                  </m:accPr>
                                  <m:e>
                                    <m:r>
                                      <m:t>L</m:t>
                                    </m:r>
                                  </m:e>
                                </m:acc>
                              </m:e>
                              <m:sub>
                                <m:r>
                                  <m:t>r</m:t>
                                </m:r>
                              </m:sub>
                              <m:sup>
                                <m:r>
                                  <m:t> </m:t>
                                </m:r>
                                <m:r>
                                  <m:rPr>
                                    <m:nor/>
                                    <m:sty m:val="p"/>
                                  </m:rPr>
                                  <m:t>HD</m:t>
                                </m:r>
                              </m:sup>
                            </m:sSubSup>
                            <m:r>
                              <m:rPr>
                                <m:sty m:val="p"/>
                              </m:rPr>
                              <m:t>(</m:t>
                            </m:r>
                            <m:r>
                              <m:t>f</m:t>
                            </m:r>
                            <m:r>
                              <m:rPr>
                                <m:sty m:val="p"/>
                              </m:rPr>
                              <m:t>)</m:t>
                            </m:r>
                          </m:e>
                        </m:d>
                      </m:num>
                      <m:den>
                        <m:sSubSup>
                          <m:e>
                            <m:r>
                              <m:rPr>
                                <m:nor/>
                                <m:sty m:val="p"/>
                              </m:rPr>
                              <m:t>SD</m:t>
                            </m:r>
                          </m:e>
                          <m:sub>
                            <m:r>
                              <m:t>r</m:t>
                            </m:r>
                          </m:sub>
                          <m:sup>
                            <m:r>
                              <m:t> </m:t>
                            </m:r>
                            <m:r>
                              <m:rPr>
                                <m:nor/>
                                <m:sty m:val="p"/>
                              </m:rPr>
                              <m:t>HD</m:t>
                            </m:r>
                          </m:sup>
                        </m:sSubSup>
                        <m:r>
                          <m:rPr>
                            <m:sty m:val="p"/>
                          </m:rPr>
                          <m:t>(</m:t>
                        </m:r>
                        <m:r>
                          <m:t>f</m:t>
                        </m:r>
                        <m:r>
                          <m:rPr>
                            <m:sty m:val="p"/>
                          </m:rPr>
                          <m:t>)</m:t>
                        </m:r>
                      </m:den>
                    </m:f>
                    <m:r>
                      <m:rPr>
                        <m:sty m:val="p"/>
                      </m:rPr>
                      <m:t>,</m:t>
                    </m:r>
                  </m:e>
                  <m:e>
                    <m:d>
                      <m:dPr>
                        <m:begChr m:val="|"/>
                        <m:sepChr m:val=""/>
                        <m:endChr m:val="|"/>
                        <m:grow/>
                      </m:dPr>
                      <m:e>
                        <m:sSubSup>
                          <m:e>
                            <m:acc>
                              <m:accPr>
                                <m:chr m:val="̃"/>
                              </m:accPr>
                              <m:e>
                                <m:r>
                                  <m:t>L</m:t>
                                </m:r>
                              </m:e>
                            </m:acc>
                          </m:e>
                          <m:sub>
                            <m:r>
                              <m:t>r</m:t>
                            </m:r>
                          </m:sub>
                          <m:sup>
                            <m:r>
                              <m:t> </m:t>
                            </m:r>
                            <m:r>
                              <m:rPr>
                                <m:nor/>
                                <m:sty m:val="p"/>
                              </m:rPr>
                              <m:t>iEEG</m:t>
                            </m:r>
                          </m:sup>
                        </m:sSubSup>
                        <m:r>
                          <m:rPr>
                            <m:sty m:val="p"/>
                          </m:rPr>
                          <m:t>(</m:t>
                        </m:r>
                        <m:r>
                          <m:t>f</m:t>
                        </m:r>
                        <m:r>
                          <m:rPr>
                            <m:sty m:val="p"/>
                          </m:rPr>
                          <m:t>)</m:t>
                        </m:r>
                        <m:r>
                          <m:rPr>
                            <m:sty m:val="p"/>
                          </m:rPr>
                          <m:t>−</m:t>
                        </m:r>
                        <m:sSubSup>
                          <m:e>
                            <m:acc>
                              <m:accPr>
                                <m:chr m:val="̃"/>
                              </m:accPr>
                              <m:e>
                                <m:r>
                                  <m:t>L</m:t>
                                </m:r>
                              </m:e>
                            </m:acc>
                          </m:e>
                          <m:sub>
                            <m:r>
                              <m:t>r</m:t>
                            </m:r>
                          </m:sub>
                          <m:sup>
                            <m:r>
                              <m:t> </m:t>
                            </m:r>
                            <m:r>
                              <m:rPr>
                                <m:nor/>
                                <m:sty m:val="p"/>
                              </m:rPr>
                              <m:t>HD</m:t>
                            </m:r>
                          </m:sup>
                        </m:sSubSup>
                        <m:r>
                          <m:rPr>
                            <m:sty m:val="p"/>
                          </m:rPr>
                          <m:t>(</m:t>
                        </m:r>
                        <m:r>
                          <m:t>f</m:t>
                        </m:r>
                        <m:r>
                          <m:rPr>
                            <m:sty m:val="p"/>
                          </m:rPr>
                          <m:t>)</m:t>
                        </m:r>
                      </m:e>
                    </m:d>
                    <m:r>
                      <m:rPr>
                        <m:sty m:val="p"/>
                      </m:rPr>
                      <m:t>≤</m:t>
                    </m:r>
                    <m:sSubSup>
                      <m:e>
                        <m:r>
                          <m:rPr>
                            <m:nor/>
                            <m:sty m:val="p"/>
                          </m:rPr>
                          <m:t>SD</m:t>
                        </m:r>
                      </m:e>
                      <m:sub>
                        <m:r>
                          <m:t>r</m:t>
                        </m:r>
                      </m:sub>
                      <m:sup>
                        <m:r>
                          <m:t> </m:t>
                        </m:r>
                        <m:r>
                          <m:rPr>
                            <m:nor/>
                            <m:sty m:val="p"/>
                          </m:rPr>
                          <m:t>HD</m:t>
                        </m:r>
                      </m:sup>
                    </m:sSubSup>
                    <m:r>
                      <m:rPr>
                        <m:sty m:val="p"/>
                      </m:rPr>
                      <m:t>(</m:t>
                    </m:r>
                    <m:r>
                      <m:t>f</m:t>
                    </m:r>
                    <m:r>
                      <m:rPr>
                        <m:sty m:val="p"/>
                      </m:rPr>
                      <m:t>)</m:t>
                    </m:r>
                  </m:e>
                </m:mr>
                <m:mr>
                  <m:e>
                    <m:r>
                      <m:t>0</m:t>
                    </m:r>
                    <m:r>
                      <m:rPr>
                        <m:sty m:val="p"/>
                      </m:rPr>
                      <m:t>,</m:t>
                    </m:r>
                  </m:e>
                  <m:e>
                    <m:r>
                      <m:rPr>
                        <m:nor/>
                        <m:sty m:val="p"/>
                      </m:rPr>
                      <m:t>otherwise.</m:t>
                    </m:r>
                  </m:e>
                </m:mr>
              </m:m>
            </m:e>
          </m:d>
        </m:oMath>
      </m:oMathPara>
    </w:p>
    <w:p>
      <w:pPr>
        <w:pStyle w:val="FirstParagraph"/>
      </w:pPr>
      <w:r>
        <w:t xml:space="preserve">The metric equals 1 when the iEEG median coincides with the HD-EEG median and falls linearly to 0 as the two separate, reaching 0 once they differ by one HD-EEG standard deviation; the standard deviation is that of the estimated (HD-EEG) modality, the one validated against the atlas. We computed the overlap at each 0.5 Hz bin and averaged it within frequency bands, giving one value per region per band, and report it at two band resolutions — the five canonical bands and the 22 Frauscher intervals</w:t>
      </w:r>
      <w:r>
        <w:t xml:space="preserve"> </w:t>
      </w:r>
      <w:r>
        <w:t xml:space="preserve">(</w:t>
      </w:r>
      <w:r>
        <w:t xml:space="preserve">Frauscher et al.</w:t>
      </w:r>
      <w:r>
        <w:t xml:space="preserve"> </w:t>
      </w:r>
      <w:r>
        <w:t xml:space="preserve">2018)</w:t>
      </w:r>
      <w:r>
        <w:t xml:space="preserve">.</w:t>
      </w:r>
    </w:p>
    <w:bookmarkEnd w:id="35"/>
    <w:bookmarkStart w:id="36" w:name="X7050c8447ec52a08a4f3bc4f8240495731026ba"/>
    <w:p>
      <w:pPr>
        <w:pStyle w:val="Heading3"/>
      </w:pPr>
      <w:r>
        <w:t xml:space="preserve">Assessing the modality overlap: reliability and rhythm presence</w:t>
      </w:r>
    </w:p>
    <w:p>
      <w:pPr>
        <w:pStyle w:val="FirstParagraph"/>
      </w:pPr>
      <w:r>
        <w:t xml:space="preserve">The band-overlap is a descriptive agreement metric: on its own it shows neither whether the agreement is statistically reliable nor whether there is a rhythm to agree about — two flat residuals coincide and score near 1, a spurious agreement. We therefore assess it in two complementary ways, both subject-clustered bootstraps that resample whole subjects with replacement (iEEG patient, HD dataset; B = 2000) and recompute the statistic on each draw.</w:t>
      </w:r>
    </w:p>
    <w:p>
      <w:pPr>
        <w:pStyle w:val="BodyText"/>
      </w:pPr>
      <w:r>
        <w:t xml:space="preserve">We deliberately use a subject-clustered bootstrap rather than the channel-wise Welch</w:t>
      </w:r>
      <w:r>
        <w:t xml:space="preserve"> </w:t>
      </w:r>
      <w:r>
        <w:rPr>
          <w:i/>
          <w:iCs/>
        </w:rPr>
        <w:t xml:space="preserve">t</w:t>
      </w:r>
      <w:r>
        <w:t xml:space="preserve">-test of</w:t>
      </w:r>
      <w:r>
        <w:t xml:space="preserve"> </w:t>
      </w:r>
      <w:r>
        <w:t xml:space="preserve">Afnan et al.</w:t>
      </w:r>
      <w:r>
        <w:t xml:space="preserve"> </w:t>
      </w:r>
      <w:r>
        <w:t xml:space="preserve">(2023)</w:t>
      </w:r>
      <w:r>
        <w:t xml:space="preserve">, for three reasons specific to our design. First, our channels are nested in a small number of subjects (the source-reconstructed HD-EEG comprises only 19 subjects, each contributing many channels), and source leakage makes neighbouring source-space channels strongly correlated; a</w:t>
      </w:r>
      <w:r>
        <w:t xml:space="preserve"> </w:t>
      </w:r>
      <w:r>
        <w:rPr>
          <w:i/>
          <w:iCs/>
        </w:rPr>
        <w:t xml:space="preserve">t</w:t>
      </w:r>
      <w:r>
        <w:t xml:space="preserve">-test on channels treats them as independent and so inflates the effective sample size from ~19 to several hundred, anti-conservatively shrinking the standard error. Welch’s correction addresses unequal</w:t>
      </w:r>
      <w:r>
        <w:t xml:space="preserve"> </w:t>
      </w:r>
      <w:r>
        <w:rPr>
          <w:i/>
          <w:iCs/>
        </w:rPr>
        <w:t xml:space="preserve">variance</w:t>
      </w:r>
      <w:r>
        <w:t xml:space="preserve">, not this non-independence, so it does not remedy the problem — whereas resampling whole subjects respects the nesting and keeps the exchangeable unit (the subject) as the unit of inference. Second, relative band power is bounded and the aperiodic-removed residual has a point mass at zero, violating the normality the</w:t>
      </w:r>
      <w:r>
        <w:t xml:space="preserve"> </w:t>
      </w:r>
      <w:r>
        <w:rPr>
          <w:i/>
          <w:iCs/>
        </w:rPr>
        <w:t xml:space="preserve">t</w:t>
      </w:r>
      <w:r>
        <w:t xml:space="preserve">-test leans on at this sample size; the bootstrap is distribution-free. Third, and most directly, the overlap is a single statistic</w:t>
      </w:r>
      <w:r>
        <w:t xml:space="preserve"> </w:t>
      </w:r>
      <w:r>
        <w:rPr>
          <w:i/>
          <w:iCs/>
        </w:rPr>
        <w:t xml:space="preserve">derived</w:t>
      </w:r>
      <w:r>
        <w:t xml:space="preserve"> </w:t>
      </w:r>
      <w:r>
        <w:t xml:space="preserve">from both modalities, not a contrast between two samples, so a two-sample</w:t>
      </w:r>
      <w:r>
        <w:t xml:space="preserve"> </w:t>
      </w:r>
      <w:r>
        <w:rPr>
          <w:i/>
          <w:iCs/>
        </w:rPr>
        <w:t xml:space="preserve">t</w:t>
      </w:r>
      <w:r>
        <w:t xml:space="preserve">-test does not apply to it at all — the only way to attach uncertainty to the overlap is to resample and recompute it. The reference (iEEG) modality is resampled too, since the atlas medians are themselves estimated from a finite set of patients.</w:t>
      </w:r>
    </w:p>
    <w:p>
      <w:pPr>
        <w:pStyle w:val="BodyText"/>
      </w:pPr>
      <w:r>
        <w:t xml:space="preserve">The first targets the reliability of the overlap value: we take a 95% percentile CI per region and band and mask cells whose interval includes 0 (grey;</w:t>
      </w:r>
      <w:r>
        <w:t xml:space="preserve"> </w:t>
      </w:r>
      <w:r>
        <w:rPr>
          <w:b/>
          <w:bCs/>
        </w:rPr>
        <w:t xml:space="preserve">?@fig-overlap-pair-corrected</w:t>
      </w:r>
      <w:r>
        <w:t xml:space="preserve">), asking whether the agreement is reliably above zero. Because the metric is bounded in</w:t>
      </w:r>
      <w:r>
        <w:t xml:space="preserve"> </w:t>
      </w:r>
      <m:oMath>
        <m:r>
          <m:rPr>
            <m:sty m:val="p"/>
          </m:rPr>
          <m:t>[</m:t>
        </m:r>
        <m:r>
          <m:t>0</m:t>
        </m:r>
        <m:r>
          <m:rPr>
            <m:sty m:val="p"/>
          </m:rPr>
          <m:t>,</m:t>
        </m:r>
        <m:r>
          <m:t>1</m:t>
        </m:r>
        <m:r>
          <m:rPr>
            <m:sty m:val="p"/>
          </m:rPr>
          <m:t>]</m:t>
        </m:r>
      </m:oMath>
      <w:r>
        <w:t xml:space="preserve"> </w:t>
      </w:r>
      <w:r>
        <w:t xml:space="preserve">with no chance baseline, this is a robustness check, not a test against a null of no correspondence; it is also band-width dependent, so the wide canonical bands leave far fewer cells masked than the 22 narrow Frauscher intervals, and the two schemes are not directly comparable on this criterion. The second targets whether a rhythm is present to compare: we bootstrap the aperiodic-removed band power and call a region rhythmic in a band when its mean residual reliably exceeds zero (95% CI &gt; 0); the overlap is then shown only where both modalities are rhythmic, masked where neither is, and marked with a cross where the iEEG atlas is rhythmic but HD-EEG is not (</w:t>
      </w:r>
      <w:hyperlink w:anchor="fig-overlap-corr-presence-gated-pair">
        <w:r>
          <w:rPr>
            <w:rStyle w:val="Hyperlink"/>
          </w:rPr>
          <w:t xml:space="preserve">Figure 16</w:t>
        </w:r>
      </w:hyperlink>
      <w:r>
        <w:t xml:space="preserve">). Presence here is significant oscillatory power above the</w:t>
      </w:r>
      <w:r>
        <w:t xml:space="preserve"> </w:t>
      </w:r>
      <m:oMath>
        <m:r>
          <m:t>1</m:t>
        </m:r>
        <m:r>
          <m:rPr>
            <m:sty m:val="p"/>
          </m:rPr>
          <m:t>/</m:t>
        </m:r>
        <m:r>
          <m:t>f</m:t>
        </m:r>
      </m:oMath>
      <w:r>
        <w:t xml:space="preserve"> </w:t>
      </w:r>
      <w:r>
        <w:t xml:space="preserve">background — a more permissive criterion than a fitted specparam peak. We read the presence-conditioned map as the primary validation summary and the confidence-interval map as a check on the metric; both use the same display, differing only in the masking rule.</w:t>
      </w:r>
    </w:p>
    <w:bookmarkEnd w:id="36"/>
    <w:bookmarkStart w:id="37" w:name="sec-m-q2"/>
    <w:p>
      <w:pPr>
        <w:pStyle w:val="Heading3"/>
      </w:pPr>
      <w:r>
        <w:t xml:space="preserve">Relative power after specparam aperiodic part removal</w:t>
      </w:r>
    </w:p>
    <w:p>
      <w:pPr>
        <w:pStyle w:val="FirstParagraph"/>
      </w:pPr>
      <w:r>
        <w:t xml:space="preserve">We now recompute the same band-power descriptor after removing the fitted aperiodic background, so the uncorrected and aperiodic-removed maps are directly comparable and their difference isolates the background’s contribution. Reading oscillations directly from the modelled peaks, rather than from this subtraction residual, is the third descriptor (</w:t>
      </w:r>
      <w:r>
        <w:rPr>
          <w:b/>
          <w:bCs/>
        </w:rPr>
        <w:t xml:space="preserve">?@sec-peaks</w:t>
      </w:r>
      <w:r>
        <w:t xml:space="preserve">).</w:t>
      </w:r>
    </w:p>
    <w:p>
      <w:pPr>
        <w:pStyle w:val="BodyText"/>
      </w:pPr>
      <w:r>
        <w:t xml:space="preserve">Each channel’s PSD was parameterised with specparam, the spectral parameterisation model of</w:t>
      </w:r>
      <w:r>
        <w:t xml:space="preserve"> </w:t>
      </w:r>
      <w:r>
        <w:t xml:space="preserve">Donoghue et al. (2020)</w:t>
      </w:r>
      <w:r>
        <w:t xml:space="preserve">, fitted over 1-80 Hz with a peak configuration shared across both modalities: peak width limits of 1-8 Hz, at most 8 peaks, a minimum peak height of 0.1, and a peak threshold of 3 SD. Only the aperiodic component differed between modalities: it was modelled in the form chosen by the per-modality knee-versus-fixed BIC comparison (</w:t>
      </w:r>
      <w:hyperlink w:anchor="sec-aperiodic-selection">
        <w:r>
          <w:rPr>
            <w:rStyle w:val="Hyperlink"/>
          </w:rPr>
          <w:t xml:space="preserve">Section 2.3.2</w:t>
        </w:r>
      </w:hyperlink>
      <w:r>
        <w:t xml:space="preserve">) — a knee model for the iEEG atlas and a fixed (knee-free) model for the source-reconstructed HD-EEG. From each fit we reconstructed the aperiodic component on the fitted frequency grid and subtracted it in linear power (next subsection), then normalised the residual to total power, so each band’s oscillatory power is expressed as a fraction of total power and is directly comparable to the uncorrected relative band power above. One fit was produced per channel; goodness of fit and the fitted aperiodic parameters are reported in the Results.</w:t>
      </w:r>
    </w:p>
    <w:p>
      <w:pPr>
        <w:pStyle w:val="BodyText"/>
      </w:pPr>
      <w:r>
        <w:t xml:space="preserve">We reconstructed the fitted aperiodic component on the fitted frequency grid and subtracted it from the empirical PSD in linear power space, giving the residual</w:t>
      </w:r>
    </w:p>
    <w:p>
      <w:pPr>
        <w:pStyle w:val="BodyText"/>
      </w:pPr>
      <m:oMathPara>
        <m:oMathParaPr>
          <m:jc m:val="center"/>
        </m:oMathParaPr>
        <m:oMath>
          <m:sSub>
            <m:e>
              <m:r>
                <m:rPr>
                  <m:sty m:val="p"/>
                </m:rPr>
                <m:t>P</m:t>
              </m:r>
              <m:r>
                <m:rPr>
                  <m:sty m:val="p"/>
                </m:rPr>
                <m:t>S</m:t>
              </m:r>
              <m:r>
                <m:rPr>
                  <m:sty m:val="p"/>
                </m:rPr>
                <m:t>D</m:t>
              </m:r>
            </m:e>
            <m:sub>
              <m:r>
                <m:rPr>
                  <m:sty m:val="p"/>
                </m:rPr>
                <m:t>o</m:t>
              </m:r>
              <m:r>
                <m:rPr>
                  <m:sty m:val="p"/>
                </m:rPr>
                <m:t>s</m:t>
              </m:r>
              <m:r>
                <m:rPr>
                  <m:sty m:val="p"/>
                </m:rPr>
                <m:t>c</m:t>
              </m:r>
            </m:sub>
          </m:sSub>
          <m:r>
            <m:rPr>
              <m:sty m:val="p"/>
            </m:rPr>
            <m:t>(</m:t>
          </m:r>
          <m:r>
            <m:t>f</m:t>
          </m:r>
          <m:r>
            <m:rPr>
              <m:sty m:val="p"/>
            </m:rPr>
            <m:t>)</m:t>
          </m:r>
          <m:r>
            <m:rPr>
              <m:sty m:val="p"/>
            </m:rPr>
            <m:t>=</m:t>
          </m:r>
          <m:r>
            <m:rPr>
              <m:sty m:val="p"/>
            </m:rPr>
            <m:t>P</m:t>
          </m:r>
          <m:r>
            <m:rPr>
              <m:sty m:val="p"/>
            </m:rPr>
            <m:t>S</m:t>
          </m:r>
          <m:r>
            <m:rPr>
              <m:sty m:val="p"/>
            </m:rPr>
            <m:t>D</m:t>
          </m:r>
          <m:r>
            <m:rPr>
              <m:sty m:val="p"/>
            </m:rPr>
            <m:t>(</m:t>
          </m:r>
          <m:r>
            <m:t>f</m:t>
          </m:r>
          <m:r>
            <m:rPr>
              <m:sty m:val="p"/>
            </m:rPr>
            <m:t>)</m:t>
          </m:r>
          <m:r>
            <m:rPr>
              <m:sty m:val="p"/>
            </m:rPr>
            <m:t>−</m:t>
          </m:r>
          <m:sSub>
            <m:e>
              <m:r>
                <m:rPr>
                  <m:sty m:val="p"/>
                </m:rPr>
                <m:t>P</m:t>
              </m:r>
              <m:r>
                <m:rPr>
                  <m:sty m:val="p"/>
                </m:rPr>
                <m:t>S</m:t>
              </m:r>
              <m:r>
                <m:rPr>
                  <m:sty m:val="p"/>
                </m:rPr>
                <m:t>D</m:t>
              </m:r>
            </m:e>
            <m:sub>
              <m:r>
                <m:rPr>
                  <m:sty m:val="p"/>
                </m:rPr>
                <m:t>a</m:t>
              </m:r>
              <m:r>
                <m:rPr>
                  <m:sty m:val="p"/>
                </m:rPr>
                <m:t>p</m:t>
              </m:r>
            </m:sub>
          </m:sSub>
          <m:r>
            <m:rPr>
              <m:sty m:val="p"/>
            </m:rPr>
            <m:t>(</m:t>
          </m:r>
          <m:r>
            <m:t>f</m:t>
          </m:r>
          <m:r>
            <m:rPr>
              <m:sty m:val="p"/>
            </m:rPr>
            <m:t>)</m:t>
          </m:r>
          <m:r>
            <m:rPr>
              <m:sty m:val="p"/>
            </m:rPr>
            <m:t>.</m:t>
          </m:r>
        </m:oMath>
      </m:oMathPara>
    </w:p>
    <w:p>
      <w:pPr>
        <w:pStyle w:val="FirstParagraph"/>
      </w:pPr>
      <w:r>
        <w:t xml:space="preserve">This is the primary residual used throughout. A log-ratio alternative,</w:t>
      </w:r>
      <w:r>
        <w:t xml:space="preserve"> </w:t>
      </w:r>
      <m:oMath>
        <m:sSub>
          <m:e>
            <m:r>
              <m:t>L</m:t>
            </m:r>
          </m:e>
          <m:sub>
            <m:r>
              <m:rPr>
                <m:sty m:val="p"/>
              </m:rPr>
              <m:t>o</m:t>
            </m:r>
            <m:r>
              <m:rPr>
                <m:sty m:val="p"/>
              </m:rPr>
              <m:t>s</m:t>
            </m:r>
            <m:r>
              <m:rPr>
                <m:sty m:val="p"/>
              </m:rPr>
              <m:t>c</m:t>
            </m:r>
          </m:sub>
        </m:sSub>
        <m:r>
          <m:rPr>
            <m:sty m:val="p"/>
          </m:rPr>
          <m:t>(</m:t>
        </m:r>
        <m:r>
          <m:t>f</m:t>
        </m:r>
        <m:r>
          <m:rPr>
            <m:sty m:val="p"/>
          </m:rPr>
          <m:t>)</m:t>
        </m:r>
        <m:r>
          <m:rPr>
            <m:sty m:val="p"/>
          </m:rPr>
          <m:t>=</m:t>
        </m:r>
        <m:sSub>
          <m:e>
            <m:r>
              <m:rPr>
                <m:sty m:val="p"/>
              </m:rPr>
              <m:t>log</m:t>
            </m:r>
          </m:e>
          <m:sub>
            <m:r>
              <m:t>10</m:t>
            </m:r>
          </m:sub>
        </m:sSub>
        <m:r>
          <m:rPr>
            <m:sty m:val="p"/>
          </m:rPr>
          <m:t>(</m:t>
        </m:r>
        <m:r>
          <m:rPr>
            <m:sty m:val="p"/>
          </m:rPr>
          <m:t>P</m:t>
        </m:r>
        <m:r>
          <m:rPr>
            <m:sty m:val="p"/>
          </m:rPr>
          <m:t>S</m:t>
        </m:r>
        <m:r>
          <m:rPr>
            <m:sty m:val="p"/>
          </m:rPr>
          <m:t>D</m:t>
        </m:r>
        <m:r>
          <m:rPr>
            <m:sty m:val="p"/>
          </m:rPr>
          <m:t>(</m:t>
        </m:r>
        <m:r>
          <m:t>f</m:t>
        </m:r>
        <m:r>
          <m:rPr>
            <m:sty m:val="p"/>
          </m:rPr>
          <m:t>)</m:t>
        </m:r>
        <m:r>
          <m:rPr>
            <m:sty m:val="p"/>
          </m:rPr>
          <m:t>/</m:t>
        </m:r>
        <m:sSub>
          <m:e>
            <m:r>
              <m:rPr>
                <m:sty m:val="p"/>
              </m:rPr>
              <m:t>P</m:t>
            </m:r>
            <m:r>
              <m:rPr>
                <m:sty m:val="p"/>
              </m:rPr>
              <m:t>S</m:t>
            </m:r>
            <m:r>
              <m:rPr>
                <m:sty m:val="p"/>
              </m:rPr>
              <m:t>D</m:t>
            </m:r>
          </m:e>
          <m:sub>
            <m:r>
              <m:rPr>
                <m:sty m:val="p"/>
              </m:rPr>
              <m:t>a</m:t>
            </m:r>
            <m:r>
              <m:rPr>
                <m:sty m:val="p"/>
              </m:rPr>
              <m:t>p</m:t>
            </m:r>
          </m:sub>
        </m:sSub>
        <m:r>
          <m:rPr>
            <m:sty m:val="p"/>
          </m:rPr>
          <m:t>(</m:t>
        </m:r>
        <m:r>
          <m:t>f</m:t>
        </m:r>
        <m:r>
          <m:rPr>
            <m:sty m:val="p"/>
          </m:rPr>
          <m:t>)</m:t>
        </m:r>
        <m:r>
          <m:rPr>
            <m:sty m:val="p"/>
          </m:rPr>
          <m:t>)</m:t>
        </m:r>
      </m:oMath>
      <w:r>
        <w:t xml:space="preserve">, which detrends in log space, could equally be used and is the variant adopted for detrending in many studies.</w:t>
      </w:r>
    </w:p>
    <w:p>
      <w:pPr>
        <w:pStyle w:val="BodyText"/>
      </w:pPr>
      <w:r>
        <w:t xml:space="preserve">Both residuals depend on the aperiodic fit, so error in the offset or exponent propagates into the oscillatory estimate;</w:t>
      </w:r>
      <w:r>
        <w:t xml:space="preserve"> </w:t>
      </w:r>
      <w:r>
        <w:t xml:space="preserve">Castanheira et al. (2026)</w:t>
      </w:r>
      <w:r>
        <w:t xml:space="preserve"> </w:t>
      </w:r>
      <w:r>
        <w:t xml:space="preserve">show this produces biased oscillatory power, more so in log space, which is why we work with the linear residual. Because we select the aperiodic mode per modality (knee vs fixed,</w:t>
      </w:r>
      <w:r>
        <w:t xml:space="preserve"> </w:t>
      </w:r>
      <w:hyperlink w:anchor="sec-aperiodic-selection">
        <w:r>
          <w:rPr>
            <w:rStyle w:val="Hyperlink"/>
          </w:rPr>
          <w:t xml:space="preserve">Section 2.3.2</w:t>
        </w:r>
      </w:hyperlink>
      <w:r>
        <w:t xml:space="preserve">), the iEEG and HD-EEG residuals are produced by different aperiodic models. Thus, the residual is treated as one operational estimate of oscillatory power, not as a direct observation of a rhythm.</w:t>
      </w:r>
    </w:p>
    <w:p>
      <w:pPr>
        <w:pStyle w:val="BodyText"/>
      </w:pPr>
      <w:r>
        <w:t xml:space="preserve">We evaluated each fit with R² and mean absolute error but did not exclude channels on fit quality in the main analysis: the poorer fits are concentrated in the HD-EEG data, where dropping everything below R² 0.90 would remove roughly a quarter of its channels. We instead treat fit quality as a sensitivity analysis, repeating the band-power and overlap analyses on the channels with R² &gt; 0.90, to check that the conclusions do not depend on the poorer-fitting channels.</w:t>
      </w:r>
    </w:p>
    <w:bookmarkEnd w:id="37"/>
    <w:bookmarkEnd w:id="38"/>
    <w:bookmarkStart w:id="39" w:name="directly-modelled-specparam-peaks"/>
    <w:p>
      <w:pPr>
        <w:pStyle w:val="Heading2"/>
      </w:pPr>
      <w:r>
        <w:t xml:space="preserve">Directly modelled specparam peaks</w:t>
      </w:r>
    </w:p>
    <w:p>
      <w:pPr>
        <w:pStyle w:val="FirstParagraph"/>
      </w:pPr>
      <w:r>
        <w:t xml:space="preserve">For each channel, we assigned the parameterized specparam peaks to canonical bands by their centre frequency. Peak prevalence in a region is the proportion of channels in that region with at least one peak in a given band.</w:t>
      </w:r>
    </w:p>
    <w:p>
      <w:pPr>
        <w:pStyle w:val="BodyText"/>
      </w:pPr>
      <w:r>
        <w:t xml:space="preserve">We also kept the parameters of the fitted peaks: centre frequency, amplitude, and bandwidth. We take the amplitude of the highest peak within a band as the modelled power of that band’s rhythm, following</w:t>
      </w:r>
      <w:r>
        <w:t xml:space="preserve"> </w:t>
      </w:r>
      <w:r>
        <w:t xml:space="preserve">Castanheira et al. (2026)</w:t>
      </w:r>
      <w:r>
        <w:t xml:space="preserve">, who retain the highest-amplitude Gaussian when more than one peak falls in the band. Channels with no fitted peak in a band are assigned a modelled power of zero rather than dropped. This keeps the channel set fixed across bands, but it leaves a spike of zeros in the distribution, so band-power comparisons use rank-based statistics.</w:t>
      </w:r>
      <w:r>
        <w:t xml:space="preserve"> </w:t>
      </w:r>
      <w:r>
        <w:t xml:space="preserve">Castanheira et al. (2026)</w:t>
      </w:r>
      <w:r>
        <w:t xml:space="preserve"> </w:t>
      </w:r>
      <w:r>
        <w:t xml:space="preserve">show in simulation that modelled power recovers oscillatory amplitude almost independently of the aperiodic exponent, whereas the residual obtained by subtracting the aperiodic fit (next subsection) inherits the error of that fit. We therefore carry modelled power as the periodic measure we trust by default, and the subtraction residual as the comparison.</w:t>
      </w:r>
    </w:p>
    <w:p>
      <w:pPr>
        <w:pStyle w:val="BodyText"/>
      </w:pPr>
      <w:r>
        <w:t xml:space="preserve">Modelled power exists only where specparam fits a peak, so the per-band prevalence above is also a fit-success rate. We report it separately for each modality.</w:t>
      </w:r>
      <w:r>
        <w:t xml:space="preserve"> </w:t>
      </w:r>
    </w:p>
    <w:p>
      <w:pPr>
        <w:pStyle w:val="BodyText"/>
      </w:pPr>
      <w:r>
        <w:t xml:space="preserve">Assigning peaks to fixed canonical bands by centre frequency is sensitive to peaks that sit near a band edge</w:t>
      </w:r>
      <w:r>
        <w:t xml:space="preserve"> </w:t>
      </w:r>
      <w:r>
        <w:t xml:space="preserve">(Castanheira et al. 2026)</w:t>
      </w:r>
      <w:r>
        <w:t xml:space="preserve">, and source reconstruction can shift the estimated peak frequency. We therefore also report the distribution of peak centre frequencies per region per modality, and compare the regional dominant peak frequency across modalities directly, without binning.</w:t>
      </w:r>
    </w:p>
    <w:bookmarkEnd w:id="39"/>
    <w:bookmarkStart w:id="43" w:name="sec-m-q3"/>
    <w:p>
      <w:pPr>
        <w:pStyle w:val="Heading2"/>
      </w:pPr>
      <w:r>
        <w:t xml:space="preserve">Auxiliary sensitivity analyses</w:t>
      </w:r>
    </w:p>
    <w:p>
      <w:pPr>
        <w:pStyle w:val="FirstParagraph"/>
      </w:pPr>
      <w:r>
        <w:t xml:space="preserve">This auxiliary analysis asks whether the regional aperiodic estimates agree across the modelling and methodological choices used to obtain them. Because some comparisons involve parameters that are not on a common scale, we quantify agreement by correlation, rank-based where the scales differ. This stability also bears on the oscillation comparison.</w:t>
      </w:r>
    </w:p>
    <w:bookmarkStart w:id="40" w:name="knee-vs-fixed"/>
    <w:p>
      <w:pPr>
        <w:pStyle w:val="Heading3"/>
      </w:pPr>
      <w:r>
        <w:t xml:space="preserve">Knee vs fixed</w:t>
      </w:r>
    </w:p>
    <w:p>
      <w:pPr>
        <w:pStyle w:val="FirstParagraph"/>
      </w:pPr>
      <w:r>
        <w:t xml:space="preserve">For each modality, we compared the channel-level exponent from the knee model with the channel-level exponent from the fixed model. The two exponents are not on the same scale, so the comparison is by Pearson and Spearman rank correlation across channels.</w:t>
      </w:r>
    </w:p>
    <w:bookmarkEnd w:id="40"/>
    <w:bookmarkStart w:id="41" w:name="fitting-range"/>
    <w:p>
      <w:pPr>
        <w:pStyle w:val="Heading3"/>
      </w:pPr>
      <w:r>
        <w:t xml:space="preserve">Fitting range</w:t>
      </w:r>
    </w:p>
    <w:p>
      <w:pPr>
        <w:pStyle w:val="FirstParagraph"/>
      </w:pPr>
      <w:r>
        <w:t xml:space="preserve">For each modality, we computed the fixed-mode exponent over 1-80 Hz and over 1-45 Hz and quantified per-channel agreement between the two estimates.</w:t>
      </w:r>
    </w:p>
    <w:bookmarkEnd w:id="41"/>
    <w:bookmarkStart w:id="42" w:name="irasa-vs-specparam"/>
    <w:p>
      <w:pPr>
        <w:pStyle w:val="Heading3"/>
      </w:pPr>
      <w:r>
        <w:t xml:space="preserve">IRASA vs specparam</w:t>
      </w:r>
    </w:p>
    <w:p>
      <w:pPr>
        <w:pStyle w:val="FirstParagraph"/>
      </w:pPr>
      <w:r>
        <w:t xml:space="preserve">As a complementary decomposition, we also estimated HD-EEG aperiodic exponents using Irregular Resampling Auto-Spectral Analysis (IRASA;</w:t>
      </w:r>
      <w:r>
        <w:t xml:space="preserve"> </w:t>
      </w:r>
      <w:r>
        <w:t xml:space="preserve">Wen and Liu (2016)</w:t>
      </w:r>
      <w:r>
        <w:t xml:space="preserve">). IRASA computes the power spectrum at multiple resampling factors (</w:t>
      </w:r>
      <m:oMath>
        <m:r>
          <m:t>h</m:t>
        </m:r>
        <m:r>
          <m:rPr>
            <m:sty m:val="p"/>
          </m:rPr>
          <m:t>=</m:t>
        </m:r>
        <m:r>
          <m:t>1.05</m:t>
        </m:r>
      </m:oMath>
      <w:r>
        <w:t xml:space="preserve"> </w:t>
      </w:r>
      <w:r>
        <w:t xml:space="preserve">to</w:t>
      </w:r>
      <w:r>
        <w:t xml:space="preserve"> </w:t>
      </w:r>
      <m:oMath>
        <m:r>
          <m:t>2.0</m:t>
        </m:r>
      </m:oMath>
      <w:r>
        <w:t xml:space="preserve"> </w:t>
      </w:r>
      <w:r>
        <w:t xml:space="preserve">in steps of</w:t>
      </w:r>
      <w:r>
        <w:t xml:space="preserve"> </w:t>
      </w:r>
      <m:oMath>
        <m:r>
          <m:t>0.05</m:t>
        </m:r>
      </m:oMath>
      <w:r>
        <w:t xml:space="preserve">); for each factor the geometric mean of the up-sampled and down-sampled spectra is taken, and the median across factors gives the fractal (aperiodic) component. Because IRASA up-samples by up to</w:t>
      </w:r>
      <w:r>
        <w:t xml:space="preserve"> </w:t>
      </w:r>
      <m:oMath>
        <m:sSub>
          <m:e>
            <m:r>
              <m:t>h</m:t>
            </m:r>
          </m:e>
          <m:sub>
            <m:r>
              <m:rPr>
                <m:sty m:val="p"/>
              </m:rPr>
              <m:t>max</m:t>
            </m:r>
          </m:sub>
        </m:sSub>
        <m:r>
          <m:rPr>
            <m:sty m:val="p"/>
          </m:rPr>
          <m:t>=</m:t>
        </m:r>
        <m:r>
          <m:t>2</m:t>
        </m:r>
      </m:oMath>
      <w:r>
        <w:t xml:space="preserve">, the analysed band is bounded by the Nyquist limit,</w:t>
      </w:r>
      <w:r>
        <w:t xml:space="preserve"> </w:t>
      </w:r>
      <m:oMath>
        <m:sSub>
          <m:e>
            <m:r>
              <m:t>h</m:t>
            </m:r>
          </m:e>
          <m:sub>
            <m:r>
              <m:rPr>
                <m:sty m:val="p"/>
              </m:rPr>
              <m:t>max</m:t>
            </m:r>
          </m:sub>
        </m:sSub>
        <m:r>
          <m:rPr>
            <m:sty m:val="p"/>
          </m:rPr>
          <m:t>⋅</m:t>
        </m:r>
        <m:sSub>
          <m:e>
            <m:r>
              <m:t>f</m:t>
            </m:r>
          </m:e>
          <m:sub>
            <m:r>
              <m:rPr>
                <m:nor/>
                <m:sty m:val="p"/>
              </m:rPr>
              <m:t>hi</m:t>
            </m:r>
          </m:sub>
        </m:sSub>
        <m:r>
          <m:rPr>
            <m:sty m:val="p"/>
          </m:rPr>
          <m:t>&lt;</m:t>
        </m:r>
        <m:sSub>
          <m:e>
            <m:r>
              <m:t>f</m:t>
            </m:r>
          </m:e>
          <m:sub>
            <m:r>
              <m:t>s</m:t>
            </m:r>
          </m:sub>
        </m:sSub>
        <m:r>
          <m:rPr>
            <m:sty m:val="p"/>
          </m:rPr>
          <m:t>/</m:t>
        </m:r>
        <m:r>
          <m:t>2</m:t>
        </m:r>
      </m:oMath>
      <w:r>
        <w:t xml:space="preserve">. With</w:t>
      </w:r>
      <w:r>
        <w:t xml:space="preserve"> </w:t>
      </w:r>
      <m:oMath>
        <m:sSub>
          <m:e>
            <m:r>
              <m:t>f</m:t>
            </m:r>
          </m:e>
          <m:sub>
            <m:r>
              <m:t>s</m:t>
            </m:r>
          </m:sub>
        </m:sSub>
        <m:r>
          <m:rPr>
            <m:sty m:val="p"/>
          </m:rPr>
          <m:t>=</m:t>
        </m:r>
        <m:r>
          <m:t>200</m:t>
        </m:r>
      </m:oMath>
      <w:r>
        <w:t xml:space="preserve"> </w:t>
      </w:r>
      <w:r>
        <w:t xml:space="preserve">Hz this restricts the upper edge to below 50 Hz, so we ran IRASA over 2-40 Hz. We obtained the fractal exponent by fitting a line in log-log space to the IRASA aperiodic spectrum; the sign-reversed slope is the IRASA exponent. For the comparison we refit the specparam fixed-mode exponent over the same 2-40 Hz band and correlated the two across channels (Pearson and Spearman).</w:t>
      </w:r>
    </w:p>
    <w:bookmarkEnd w:id="42"/>
    <w:bookmarkEnd w:id="43"/>
    <w:bookmarkEnd w:id="44"/>
    <w:bookmarkStart w:id="181" w:name="results"/>
    <w:p>
      <w:pPr>
        <w:pStyle w:val="Heading1"/>
      </w:pPr>
      <w:r>
        <w:t xml:space="preserve">Results</w:t>
      </w:r>
    </w:p>
    <w:bookmarkStart w:id="59" w:name="X725fa15c5cdfddb40e8dcbb20334b28536a2b66"/>
    <w:p>
      <w:pPr>
        <w:pStyle w:val="Heading2"/>
      </w:pPr>
      <w:r>
        <w:t xml:space="preserve">Whole-spectrum clustering and the no-peak reference</w:t>
      </w:r>
    </w:p>
    <w:bookmarkStart w:id="57" w:name="result-clusterisation"/>
    <w:p>
      <w:pPr>
        <w:pStyle w:val="Heading3"/>
      </w:pPr>
      <w:r>
        <w:t xml:space="preserve">K-means clusterisation</w:t>
      </w:r>
    </w:p>
    <w:p>
      <w:pPr>
        <w:pStyle w:val="FirstParagraph"/>
      </w:pPr>
      <w:r>
        <w:t xml:space="preserve">In the iEEG atlas the clustering resolved distinct, band-specific peak groups. With the 0.5–80 Hz bandpass of</w:t>
      </w:r>
      <w:r>
        <w:t xml:space="preserve"> </w:t>
      </w:r>
      <w:r>
        <w:t xml:space="preserve">Frauscher et al.</w:t>
      </w:r>
      <w:r>
        <w:t xml:space="preserve"> </w:t>
      </w:r>
      <w:r>
        <w:t xml:space="preserve">(2018)</w:t>
      </w:r>
      <w:r>
        <w:t xml:space="preserve"> </w:t>
      </w:r>
      <w:r>
        <w:t xml:space="preserve">applied, it reproduced their eight-group solution: a no-peak group and seven peak groups spanning low delta, high delta, theta, alpha, low beta, high beta, and gamma. Removing the bandpass reduced this to seven groups — a no-peak group and six peak clusters (two delta, one theta, two alpha, one beta) — with no gamma group and no low/high-beta split (</w:t>
      </w:r>
      <w:hyperlink w:anchor="fig-clusters">
        <w:r>
          <w:rPr>
            <w:rStyle w:val="Hyperlink"/>
          </w:rPr>
          <w:t xml:space="preserve">Figure 5</w:t>
        </w:r>
      </w:hyperlink>
      <w:r>
        <w:t xml:space="preserve"> </w:t>
      </w:r>
      <w:r>
        <w:t xml:space="preserve">B). We decided to use option withous bandpass filtering, as discussed in</w:t>
      </w:r>
      <w:r>
        <w:t xml:space="preserve"> </w:t>
      </w:r>
      <w:hyperlink w:anchor="sec-clustering">
        <w:r>
          <w:rPr>
            <w:rStyle w:val="Hyperlink"/>
          </w:rPr>
          <w:t xml:space="preserve">Section 2.2</w:t>
        </w:r>
      </w:hyperlink>
      <w:r>
        <w:t xml:space="preserve">..</w:t>
      </w:r>
    </w:p>
    <w:p>
      <w:pPr>
        <w:pStyle w:val="BodyText"/>
      </w:pPr>
      <w:r>
        <w:t xml:space="preserve">Source-reconstructed HD-EEG produced a markedly different structure of eleven groups. Seven carried a peak in the alpha range (8–12 Hz) and differed only in amplitude, so the procedure over-segmented a single alpha-dominated continuum rather than resolving separate bands (</w:t>
      </w:r>
      <w:hyperlink w:anchor="fig-clusters">
        <w:r>
          <w:rPr>
            <w:rStyle w:val="Hyperlink"/>
          </w:rPr>
          <w:t xml:space="preserve">Figure 5</w:t>
        </w:r>
      </w:hyperlink>
      <w:r>
        <w:t xml:space="preserve"> </w:t>
      </w:r>
      <w:r>
        <w:t xml:space="preserve">C); no distinct theta or beta cluster emerged, and the no-peak cluster was flatter than its iEEG counterpart.</w:t>
      </w:r>
    </w:p>
    <w:p>
      <w:pPr>
        <w:pStyle w:val="BodyText"/>
      </w:pPr>
      <w:r>
        <w:t xml:space="preserve">We labelled each cluster by the frequency of its maximum deviation from the no-peak baseline (interpretable only where a genuine peak is present), only the δ and α HD-EEG clusters showed a clear bump above the aperiodic background. The remaining high-frequency clusters were separated by a shallower aperiodic slope and an elevated broadband tail, not by an oscillation. Where the iEEG atlas resolved oscillatory clusters from δ to γ, the HD-EEG structure reduced to alpha power and aperiodic slope (</w:t>
      </w:r>
      <w:hyperlink w:anchor="fig-clusters">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clusters"/>
          <w:p>
            <w:pPr>
              <w:pStyle w:val="Compact"/>
              <w:jc w:val="center"/>
            </w:pPr>
            <w:r>
              <w:drawing>
                <wp:inline>
                  <wp:extent cx="5334000" cy="1762932"/>
                  <wp:effectExtent b="0" l="0" r="0" t="0"/>
                  <wp:docPr descr="" title="" id="46" name="Picture"/>
                  <a:graphic>
                    <a:graphicData uri="http://schemas.openxmlformats.org/drawingml/2006/picture">
                      <pic:pic>
                        <pic:nvPicPr>
                          <pic:cNvPr descr="figures/chapter2/clusters/rawpower_and_clusters.pdf" id="47" name="Picture"/>
                          <pic:cNvPicPr>
                            <a:picLocks noChangeArrowheads="1" noChangeAspect="1"/>
                          </pic:cNvPicPr>
                        </pic:nvPicPr>
                        <pic:blipFill>
                          <a:blip r:embed="rId45"/>
                          <a:stretch>
                            <a:fillRect/>
                          </a:stretch>
                        </pic:blipFill>
                        <pic:spPr bwMode="auto">
                          <a:xfrm>
                            <a:off x="0" y="0"/>
                            <a:ext cx="5334000" cy="176293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We show spectral clustering in iEEG and source-reconstructed HD-EEG. Panel A is the average raw (non-normalised) PSD for each modality. Panels B and C show the cluster solutions on normalised spectra: the seven iEEG clusters (B) and the eleven HD-EEG clusters (C), each including one no-peak cluster. The HD-EEG solution splits into more clusters, most separated only by the power of the alpha peak. A knee is visible in the iEEG clusters, whereas the reconstructed sources are closer to 1/f.</w:t>
            </w:r>
          </w:p>
          <w:bookmarkEnd w:id="48"/>
        </w:tc>
      </w:tr>
    </w:tbl>
    <w:p>
      <w:pPr>
        <w:pStyle w:val="BodyText"/>
      </w:pPr>
      <w:r>
        <w:t xml:space="preserve">Testing each region against the no-peak set across the 22 frequency intervals reproduced this contrast at regional resolution (</w:t>
      </w:r>
      <w:hyperlink w:anchor="fig-stat-reg_dfiff">
        <w:r>
          <w:rPr>
            <w:rStyle w:val="Hyperlink"/>
          </w:rPr>
          <w:t xml:space="preserve">Figure 6</w:t>
        </w:r>
      </w:hyperlink>
      <w:r>
        <w:t xml:space="preserve">). In the iEEG atlas, regions deviated from the no-peak distribution across the whole spectrum and in a regionally specific way: the alpha interval was strongest in occipital cortex — up to all channels in the cuneus and ~0.86 in superior and middle occipital gyri — parietal regions extended the deviation into beta (postcentral gyrus ~0.73), precentral and frontal regions carried beta and low-gamma peaks (precentral up to ~0.5 at 15-30 Hz), and the hippocampus deviated specifically in the delta range (~0.44-0.69 at 1-3 Hz). In source-reconstructed HD-EEG the significant channels collapsed onto a single alpha column (~8-13 Hz), shared across almost all regions at comparable fractions (~0.5-0.79); the delta, theta and beta intervals were essentially empty, and the only further deviation was an isolated high-frequency column (31.75-80 Hz, with some 20-31 Hz) at moderate fractions (~0.4-0.53) that tracks the elevated broadband tail rather than a rhythm.</w:t>
      </w:r>
    </w:p>
    <w:tbl>
      <w:tblPr>
        <w:tblStyle w:val="Table"/>
        <w:tblW w:type="pct" w:w="5000"/>
        <w:tblLayout w:type="fixed"/>
        <w:tblLook w:firstRow="0" w:lastRow="0" w:firstColumn="0" w:lastColumn="0" w:noHBand="0" w:noVBand="0" w:val="0000"/>
      </w:tblPr>
      <w:tblGrid>
        <w:gridCol w:w="7920"/>
      </w:tblGrid>
      <w:tr>
        <w:tc>
          <w:tcPr/>
          <w:bookmarkStart w:id="52" w:name="fig-stat-reg_dfiff"/>
          <w:p>
            <w:pPr>
              <w:pStyle w:val="Compact"/>
              <w:jc w:val="center"/>
            </w:pPr>
            <w:r>
              <w:drawing>
                <wp:inline>
                  <wp:extent cx="5334000" cy="3457646"/>
                  <wp:effectExtent b="0" l="0" r="0" t="0"/>
                  <wp:docPr descr="" title="" id="50" name="Picture"/>
                  <a:graphic>
                    <a:graphicData uri="http://schemas.openxmlformats.org/drawingml/2006/picture">
                      <pic:pic>
                        <pic:nvPicPr>
                          <pic:cNvPr descr="figures/chapter2/clusters/combined_regional_differences_faceted.pdf" id="51" name="Picture"/>
                          <pic:cNvPicPr>
                            <a:picLocks noChangeArrowheads="1" noChangeAspect="1"/>
                          </pic:cNvPicPr>
                        </pic:nvPicPr>
                        <pic:blipFill>
                          <a:blip r:embed="rId49"/>
                          <a:stretch>
                            <a:fillRect/>
                          </a:stretch>
                        </pic:blipFill>
                        <pic:spPr bwMode="auto">
                          <a:xfrm>
                            <a:off x="0" y="0"/>
                            <a:ext cx="5334000" cy="3457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Regional differences from the no-peak set across frequency intervals, for iEEG (A) and source-reconstructed HD-EEG (B). Cell coloring is the fraction of a region’s channels whose relative power exceeded the no-peak distribution.</w:t>
            </w:r>
          </w:p>
          <w:bookmarkEnd w:id="52"/>
        </w:tc>
      </w:tr>
    </w:tbl>
    <w:p>
      <w:pPr>
        <w:pStyle w:val="BodyText"/>
      </w:pPr>
      <w:r>
        <w:t xml:space="preserve">The same divergence appears in the lobar mean spectra overlaid on the no-peak reference (</w:t>
      </w:r>
      <w:hyperlink w:anchor="fig-lobar-reg_dfiff">
        <w:r>
          <w:rPr>
            <w:rStyle w:val="Hyperlink"/>
          </w:rPr>
          <w:t xml:space="preserve">Figure 7</w:t>
        </w:r>
      </w:hyperlink>
      <w:r>
        <w:t xml:space="preserve">). In iEEG every lobe rose above the reference with a clear alpha peak — tallest and broadest in occipital cortex — alongside additional theta and beta structure in the frontal and temporal lobes, a multimodal departure from the background. In HD-EEG each lobe instead reduced to a single sharp alpha peak, strongest in occipital and parietal lobes, with the significantly deviating frequencies confined to the alpha band and no separate theta or beta elevation.</w:t>
      </w:r>
    </w:p>
    <w:tbl>
      <w:tblPr>
        <w:tblStyle w:val="Table"/>
        <w:tblW w:type="pct" w:w="5000"/>
        <w:tblLayout w:type="fixed"/>
        <w:tblLook w:firstRow="0" w:lastRow="0" w:firstColumn="0" w:lastColumn="0" w:noHBand="0" w:noVBand="0" w:val="0000"/>
      </w:tblPr>
      <w:tblGrid>
        <w:gridCol w:w="7920"/>
      </w:tblGrid>
      <w:tr>
        <w:tc>
          <w:tcPr/>
          <w:bookmarkStart w:id="56" w:name="fig-lobar-reg_dfiff"/>
          <w:p>
            <w:pPr>
              <w:pStyle w:val="Compact"/>
              <w:jc w:val="center"/>
            </w:pPr>
            <w:r>
              <w:drawing>
                <wp:inline>
                  <wp:extent cx="5334000" cy="1908778"/>
                  <wp:effectExtent b="0" l="0" r="0" t="0"/>
                  <wp:docPr descr="" title="" id="54" name="Picture"/>
                  <a:graphic>
                    <a:graphicData uri="http://schemas.openxmlformats.org/drawingml/2006/picture">
                      <pic:pic>
                        <pic:nvPicPr>
                          <pic:cNvPr descr="figures/chapter2/clusters/combined_lobar_differences_faceted.pdf" id="55" name="Picture"/>
                          <pic:cNvPicPr>
                            <a:picLocks noChangeArrowheads="1" noChangeAspect="1"/>
                          </pic:cNvPicPr>
                        </pic:nvPicPr>
                        <pic:blipFill>
                          <a:blip r:embed="rId53"/>
                          <a:stretch>
                            <a:fillRect/>
                          </a:stretch>
                        </pic:blipFill>
                        <pic:spPr bwMode="auto">
                          <a:xfrm>
                            <a:off x="0" y="0"/>
                            <a:ext cx="5334000" cy="1908778"/>
                          </a:xfrm>
                          <a:prstGeom prst="rect">
                            <a:avLst/>
                          </a:prstGeom>
                          <a:noFill/>
                          <a:ln w="9525">
                            <a:noFill/>
                            <a:headEnd/>
                            <a:tailEnd/>
                          </a:ln>
                        </pic:spPr>
                      </pic:pic>
                    </a:graphicData>
                  </a:graphic>
                </wp:inline>
              </w:drawing>
            </w:r>
          </w:p>
          <w:p>
            <w:pPr>
              <w:jc w:val="center"/>
            </w:pPr>
            <w:pPr>
              <w:jc w:val="left"/>
              <w:spacing w:before="200"/>
              <w:pStyle w:val="ImageCaption"/>
            </w:pPr>
            <w:r>
              <w:t xml:space="preserve">Figure 7: Lobar differences relative to the no-peak set, for iEEG (top) and source-reconstructed HD-EEG (bottom). We overlay each lobe’s mean normalised spectrum on the no-peak reference; n per lobe is annotated.</w:t>
            </w:r>
          </w:p>
          <w:bookmarkEnd w:id="56"/>
        </w:tc>
      </w:tr>
    </w:tbl>
    <w:bookmarkEnd w:id="57"/>
    <w:bookmarkStart w:id="58" w:name="X10156f922f3ac3ccf59e1efdc12603e6df1e4d8"/>
    <w:p>
      <w:pPr>
        <w:pStyle w:val="Heading3"/>
      </w:pPr>
      <w:r>
        <w:t xml:space="preserve">Clustering stability and data driven intervals</w:t>
      </w:r>
    </w:p>
    <w:p>
      <w:pPr>
        <w:pStyle w:val="FirstParagraph"/>
      </w:pPr>
      <w:r>
        <w:t xml:space="preserve">We next evaluated the stability of the clustering solution, the no-peak reference set, and the data-driven frequency intervals used for regional peak detection. These components were sensitive to preprocessing choices and to the fitted frequency range: small changes in the lower or upper bound altered the number of clusters and the membership and shape of the no-peak reference set. This was worst in the source-reconstructed HD-EEG data, where some configurations failed to produce a no-peak set at all.</w:t>
      </w:r>
    </w:p>
    <w:p>
      <w:pPr>
        <w:pStyle w:val="BodyText"/>
      </w:pPr>
      <w:r>
        <w:t xml:space="preserve">The data-driven intervals also failed to transfer.</w:t>
      </w:r>
      <w:r>
        <w:t xml:space="preserve"> </w:t>
      </w:r>
      <w:r>
        <w:t xml:space="preserve">Frauscher et al.</w:t>
      </w:r>
      <w:r>
        <w:t xml:space="preserve"> </w:t>
      </w:r>
      <w:r>
        <w:t xml:space="preserve">(2018)</w:t>
      </w:r>
      <w:r>
        <w:t xml:space="preserve"> </w:t>
      </w:r>
      <w:r>
        <w:t xml:space="preserve">defined 22 intervals so that each held at least 4% of the total mean power in iEEG; applied to the HD-EEG spectra, the same rule yielded 21 intervals and split the range above 31.75 Hz into five separate intervals, where the atlas defined a single 31.75-80 Hz band. We attributed this gamma over-segmentation to the unit-power normalisation (see Discussion). Because the rule did not transfer, we retained the fixed 22 intervals of</w:t>
      </w:r>
      <w:r>
        <w:t xml:space="preserve"> </w:t>
      </w:r>
      <w:r>
        <w:t xml:space="preserve">Frauscher et al.</w:t>
      </w:r>
      <w:r>
        <w:t xml:space="preserve"> </w:t>
      </w:r>
      <w:r>
        <w:t xml:space="preserve">(2018)</w:t>
      </w:r>
      <w:r>
        <w:t xml:space="preserve"> </w:t>
      </w:r>
      <w:r>
        <w:t xml:space="preserve">for both modalities to keep them comparable.</w:t>
      </w:r>
    </w:p>
    <w:p>
      <w:pPr>
        <w:pStyle w:val="BodyText"/>
      </w:pPr>
      <w:r>
        <w:t xml:space="preserve">For this reason the 4% condition does not transfer to source-reconstructed data, and data-driven HD-EEG intervals are not directly comparable with the iEEG atlas. To preserve cross-modal comparability, the fixed 22 intervals of</w:t>
      </w:r>
      <w:r>
        <w:t xml:space="preserve"> </w:t>
      </w:r>
      <w:r>
        <w:t xml:space="preserve">Frauscher et al.</w:t>
      </w:r>
      <w:r>
        <w:t xml:space="preserve"> </w:t>
      </w:r>
      <w:r>
        <w:t xml:space="preserve">(2018)</w:t>
      </w:r>
      <w:r>
        <w:t xml:space="preserve"> </w:t>
      </w:r>
      <w:r>
        <w:t xml:space="preserve">were retained for both modalities in all regional peak-detection tests (</w:t>
      </w:r>
      <w:hyperlink w:anchor="fig-stat-reg_dfiff">
        <w:r>
          <w:rPr>
            <w:rStyle w:val="Hyperlink"/>
          </w:rPr>
          <w:t xml:space="preserve">Figure 6</w:t>
        </w:r>
      </w:hyperlink>
      <w:r>
        <w:t xml:space="preserve"> </w:t>
      </w:r>
      <w:r>
        <w:t xml:space="preserve">).</w:t>
      </w:r>
    </w:p>
    <w:p>
      <w:pPr>
        <w:pStyle w:val="BodyText"/>
      </w:pPr>
      <w:r>
        <w:t xml:space="preserve">The clustering, the no-peak reference, and the power-based interval definition were therefore potentially unstable across reasonable preprocessing choices. We did not apply this k-means descriptor to the aperiodic-corrected (</w:t>
      </w:r>
      <w:r>
        <w:rPr>
          <w:rStyle w:val="VerbatimChar"/>
        </w:rPr>
        <w:t xml:space="preserve">specparam</w:t>
      </w:r>
      <w:r>
        <w:t xml:space="preserve">) spectra. In the subsequent analyses we instead characterised oscillatory content with the per-band parametrised-peak descriptor, which needs neither a clustering step nor a no-peak reference and was therefore less dependent on these preprocessing choices.</w:t>
      </w:r>
    </w:p>
    <w:bookmarkEnd w:id="58"/>
    <w:bookmarkEnd w:id="59"/>
    <w:bookmarkStart w:id="116" w:name="X6368be2ee6c4d30ee64a88a83510968ce14d574"/>
    <w:p>
      <w:pPr>
        <w:pStyle w:val="Heading2"/>
      </w:pPr>
      <w:r>
        <w:t xml:space="preserve">Normalised relative-power maps before and after broadband correction</w:t>
      </w:r>
    </w:p>
    <w:p>
      <w:pPr>
        <w:pStyle w:val="FirstParagraph"/>
      </w:pPr>
      <w:r>
        <w:t xml:space="preserve">We present regional relative band power, compared across modalities, with the band- and interval-overlap metric. We read it in two states — on the uncorrected spectra in</w:t>
      </w:r>
      <w:r>
        <w:t xml:space="preserve"> </w:t>
      </w:r>
      <w:hyperlink w:anchor="sec-normarive-uncorrected">
        <w:r>
          <w:rPr>
            <w:rStyle w:val="Hyperlink"/>
          </w:rPr>
          <w:t xml:space="preserve">Section 3.2.1</w:t>
        </w:r>
      </w:hyperlink>
      <w:r>
        <w:t xml:space="preserve"> </w:t>
      </w:r>
      <w:r>
        <w:t xml:space="preserve">and after removing the specparam aperiodic component (</w:t>
      </w:r>
      <w:hyperlink w:anchor="sec-normarive-corrected">
        <w:r>
          <w:rPr>
            <w:rStyle w:val="Hyperlink"/>
          </w:rPr>
          <w:t xml:space="preserve">Section 3.2.3</w:t>
        </w:r>
      </w:hyperlink>
      <w:r>
        <w:t xml:space="preserve">).</w:t>
      </w:r>
    </w:p>
    <w:bookmarkStart w:id="68" w:name="sec-normarive-uncorrected"/>
    <w:p>
      <w:pPr>
        <w:pStyle w:val="Heading3"/>
      </w:pPr>
      <w:r>
        <w:t xml:space="preserve">Band-power map on uncorrected spectra</w:t>
      </w:r>
    </w:p>
    <w:p>
      <w:pPr>
        <w:pStyle w:val="FirstParagraph"/>
      </w:pPr>
      <w:r>
        <w:t xml:space="preserve">We mapped each region’s relative band power on the uncorrected unit-power spectra, as a fraction of total power within each canonical band and each Frauscher interval; per region we summarise across its channels — the group mean on the surface maps, the median in the heatmaps. We show it in two views: the band-wise spatial distribution projected onto the cortical surface (</w:t>
      </w:r>
      <w:hyperlink w:anchor="fig-relpower-maps-uncorrected">
        <w:r>
          <w:rPr>
            <w:rStyle w:val="Hyperlink"/>
          </w:rPr>
          <w:t xml:space="preserve">Figure 8</w:t>
        </w:r>
      </w:hyperlink>
      <w:r>
        <w:t xml:space="preserve">), and the full region × band matrix as heatmaps, for both band schemes and both modalities (</w:t>
      </w:r>
      <w:hyperlink w:anchor="fig-relpower-heatmaps">
        <w:r>
          <w:rPr>
            <w:rStyle w:val="Hyperlink"/>
          </w:rPr>
          <w:t xml:space="preserve">Figure 9</w:t>
        </w:r>
      </w:hyperlink>
      <w:r>
        <w:t xml:space="preserve">). The wide canonical bands carry a much larger fraction of total power than the narrow Frauscher intervals, so each heatmap panel is scaled to its own maximum and colour is not comparable across panels. In both modalities the delta band carries the largest fraction of total power — the steep 1/f tail, not a rhythm. The clearest band-limited elevation is a posterior alpha focus, sharper in HD-EEG, and the HD-EEG heatmap additionally shows elevated power in the highest Frauscher interval (31.75-80 Hz) that the iEEG atlas lacks. Relative band powers are compositional: the bands within a channel sum to a fixed total.</w:t>
      </w:r>
    </w:p>
    <w:tbl>
      <w:tblPr>
        <w:tblStyle w:val="Table"/>
        <w:tblW w:type="pct" w:w="5000"/>
        <w:tblLayout w:type="fixed"/>
        <w:tblLook w:firstRow="0" w:lastRow="0" w:firstColumn="0" w:lastColumn="0" w:noHBand="0" w:noVBand="0" w:val="0000"/>
      </w:tblPr>
      <w:tblGrid>
        <w:gridCol w:w="7920"/>
      </w:tblGrid>
      <w:tr>
        <w:tc>
          <w:tcPr/>
          <w:bookmarkStart w:id="63" w:name="fig-relpower-maps-uncorrected"/>
          <w:p>
            <w:pPr>
              <w:pStyle w:val="Compact"/>
              <w:jc w:val="center"/>
            </w:pPr>
            <w:r>
              <w:drawing>
                <wp:inline>
                  <wp:extent cx="5334000" cy="1244600"/>
                  <wp:effectExtent b="0" l="0" r="0" t="0"/>
                  <wp:docPr descr="" title="" id="61" name="Picture"/>
                  <a:graphic>
                    <a:graphicData uri="http://schemas.openxmlformats.org/drawingml/2006/picture">
                      <pic:pic>
                        <pic:nvPicPr>
                          <pic:cNvPr descr="figures/chapter2/relative_power/relpower_maps_uncorrected.pdf" id="62" name="Picture"/>
                          <pic:cNvPicPr>
                            <a:picLocks noChangeArrowheads="1" noChangeAspect="1"/>
                          </pic:cNvPicPr>
                        </pic:nvPicPr>
                        <pic:blipFill>
                          <a:blip r:embed="rId60"/>
                          <a:stretch>
                            <a:fillRect/>
                          </a:stretch>
                        </pic:blipFill>
                        <pic:spPr bwMode="auto">
                          <a:xfrm>
                            <a:off x="0" y="0"/>
                            <a:ext cx="5334000" cy="1244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Group-average relative PSD per ROI, faceted by canonical band (columns) and modality (rows: iEEG top, HD-EEG source bottom). Colour is the within-band relative power (fraction of total power) on a single shared scale across all panels, so magnitude is comparable across bands and modalities — delta highest, gamma lowest. Hippocampus and amygdala have no cortical-surface geometry in the Frauscher ggsegpy atlas and are not shown.</w:t>
            </w:r>
          </w:p>
          <w:bookmarkEnd w:id="6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7" w:name="fig-relpower-heatmaps"/>
          <w:p>
            <w:pPr>
              <w:pStyle w:val="Compact"/>
              <w:jc w:val="center"/>
            </w:pPr>
            <w:r>
              <w:drawing>
                <wp:inline>
                  <wp:extent cx="5334000" cy="6412270"/>
                  <wp:effectExtent b="0" l="0" r="0" t="0"/>
                  <wp:docPr descr="" title="" id="65" name="Picture"/>
                  <a:graphic>
                    <a:graphicData uri="http://schemas.openxmlformats.org/drawingml/2006/picture">
                      <pic:pic>
                        <pic:nvPicPr>
                          <pic:cNvPr descr="figures/chapter2/relative_power/relpower_heatmaps_uncorrected.pdf" id="66" name="Picture"/>
                          <pic:cNvPicPr>
                            <a:picLocks noChangeArrowheads="1" noChangeAspect="1"/>
                          </pic:cNvPicPr>
                        </pic:nvPicPr>
                        <pic:blipFill>
                          <a:blip r:embed="rId64"/>
                          <a:stretch>
                            <a:fillRect/>
                          </a:stretch>
                        </pic:blipFill>
                        <pic:spPr bwMode="auto">
                          <a:xfrm>
                            <a:off x="0" y="0"/>
                            <a:ext cx="5334000" cy="641227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Median relative band power per bilateral region, before aperiodic correction, as region × band heatmaps. Modalities are stacked — iEEG (top, A-B) over HD-EEG (bottom, C-D) — with the five canonical bands (left) and the 22 Frauscher intervals (right,</w:t>
            </w:r>
            <w:r>
              <w:t xml:space="preserve"> </w:t>
            </w:r>
            <w:r>
              <w:t xml:space="preserve">Frauscher et al.</w:t>
            </w:r>
            <w:r>
              <w:t xml:space="preserve"> </w:t>
            </w:r>
            <w:r>
              <w:t xml:space="preserve">(2018)</w:t>
            </w:r>
            <w:r>
              <w:t xml:space="preserve">) across the columns, so each band scheme aligns vertically between modalities. The value in each cell is the median across the region’s channels of the within-band relative power (band power as a fraction of total power, so in [0, 1]); each panel has its own colorbar, auto-scaled to its maximum, because the wide canonical bands carry a much larger fraction of total power than the narrow Frauscher bins. Rows are bilateral MICCAI regions grouped by lobe, with lobe-coloured labels.</w:t>
            </w:r>
          </w:p>
          <w:bookmarkEnd w:id="67"/>
        </w:tc>
      </w:tr>
    </w:tbl>
    <w:bookmarkEnd w:id="68"/>
    <w:bookmarkStart w:id="81" w:name="X88da154ac155f57dc037d9a1495b02eb27786ba"/>
    <w:p>
      <w:pPr>
        <w:pStyle w:val="Heading3"/>
      </w:pPr>
      <w:r>
        <w:t xml:space="preserve">Crossmodal correlation and and cross-modal overlap comparison on uncorrected spectra</w:t>
      </w:r>
    </w:p>
    <w:p>
      <w:pPr>
        <w:pStyle w:val="FirstParagraph"/>
      </w:pPr>
      <w:r>
        <w:t xml:space="preserve">Regional relative-power maps agreed across modalities most strongly in the alpha band (r = 0.60) and, more weakly, in the delta band (r = 0.42). Theta showed essentially no cross-modal correspondence (r = 0.13), beta only weak agreement (r = 0.30), and gamma was anti-correlated (r = −0.29). The spatial organisation of relative power is therefore only partially preserved between the iEEG atlas and source-reconstructed HD-EEG, and the preservation is band-dependent: it is confined largely to the alpha and low-frequency ranges that carry the clearest oscillatory structure, and breaks down at high frequencies.</w:t>
      </w:r>
    </w:p>
    <w:tbl>
      <w:tblPr>
        <w:tblStyle w:val="Table"/>
        <w:tblW w:type="pct" w:w="5000"/>
        <w:tblLayout w:type="fixed"/>
        <w:tblLook w:firstRow="0" w:lastRow="0" w:firstColumn="0" w:lastColumn="0" w:noHBand="0" w:noVBand="0" w:val="0000"/>
      </w:tblPr>
      <w:tblGrid>
        <w:gridCol w:w="7920"/>
      </w:tblGrid>
      <w:tr>
        <w:tc>
          <w:tcPr/>
          <w:bookmarkStart w:id="72" w:name="fig-relpower-scatter-uncorrected"/>
          <w:p>
            <w:pPr>
              <w:pStyle w:val="Compact"/>
              <w:jc w:val="center"/>
            </w:pPr>
            <w:r>
              <w:drawing>
                <wp:inline>
                  <wp:extent cx="5334000" cy="1170516"/>
                  <wp:effectExtent b="0" l="0" r="0" t="0"/>
                  <wp:docPr descr="" title="" id="70" name="Picture"/>
                  <a:graphic>
                    <a:graphicData uri="http://schemas.openxmlformats.org/drawingml/2006/picture">
                      <pic:pic>
                        <pic:nvPicPr>
                          <pic:cNvPr descr="figures/chapter2/relative_power/relpower_scatter_uncorrected.pdf" id="71" name="Picture"/>
                          <pic:cNvPicPr>
                            <a:picLocks noChangeArrowheads="1" noChangeAspect="1"/>
                          </pic:cNvPicPr>
                        </pic:nvPicPr>
                        <pic:blipFill>
                          <a:blip r:embed="rId69"/>
                          <a:stretch>
                            <a:fillRect/>
                          </a:stretch>
                        </pic:blipFill>
                        <pic:spPr bwMode="auto">
                          <a:xfrm>
                            <a:off x="0" y="0"/>
                            <a:ext cx="5334000" cy="117051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Cross-modal correspondence of uncorrected relative band power. Each panel is one canonical band; each point is one bilateral MICCAI region, with source HD-EEG relative power on the x-axis and the iEEG atlas on the y-axis. Points are coloured by lobe, the solid line is the per-band OLS fit, and the dashed line marks identity (y = x). Strip labels give the per-band Pearson correlation.</w:t>
            </w:r>
          </w:p>
          <w:bookmarkEnd w:id="72"/>
        </w:tc>
      </w:tr>
    </w:tbl>
    <w:p>
      <w:pPr>
        <w:pStyle w:val="BodyText"/>
      </w:pPr>
      <w:r>
        <w:t xml:space="preserve">These per-band correlations are descriptive rather than inferential: the regions are not independent and the relative powers are compositional (Methods), so we base formal cross-modal inference on the bootstrap overlap below and on the peak descriptors.</w:t>
      </w:r>
    </w:p>
    <w:p>
      <w:pPr>
        <w:pStyle w:val="BodyText"/>
      </w:pPr>
      <w:r>
        <w:t xml:space="preserve">To compare directly with the clustering analysis, we recomputed the overlap in the same heatmap display (</w:t>
      </w:r>
      <w:hyperlink w:anchor="fig-overlap-pair-uncorrected">
        <w:r>
          <w:rPr>
            <w:rStyle w:val="Hyperlink"/>
          </w:rPr>
          <w:t xml:space="preserve">Figure 12</w:t>
        </w:r>
      </w:hyperlink>
      <w:r>
        <w:t xml:space="preserve">). The overlap is strongest in the delta and alpha bands, with beta present in some regions. Cells are masked where the bootstrap 95% CI of the overlap includes zero, and a contrast dot marks cells where a reliable overlap sits on a flat residual — a reliable agreement with no significant rhythm in either modality, which matters for the presence-conditioned analysis below.</w:t>
      </w:r>
    </w:p>
    <w:tbl>
      <w:tblPr>
        <w:tblStyle w:val="Table"/>
        <w:tblW w:type="pct" w:w="5000"/>
        <w:tblLayout w:type="fixed"/>
        <w:tblLook w:firstRow="0" w:lastRow="0" w:firstColumn="0" w:lastColumn="0" w:noHBand="0" w:noVBand="0" w:val="0000"/>
      </w:tblPr>
      <w:tblGrid>
        <w:gridCol w:w="7920"/>
      </w:tblGrid>
      <w:tr>
        <w:tc>
          <w:tcPr/>
          <w:bookmarkStart w:id="76" w:name="fig-overlap-maps-uncorrected"/>
          <w:p>
            <w:pPr>
              <w:pStyle w:val="Compact"/>
              <w:jc w:val="center"/>
            </w:pPr>
            <w:r>
              <w:drawing>
                <wp:inline>
                  <wp:extent cx="5334000" cy="849488"/>
                  <wp:effectExtent b="0" l="0" r="0" t="0"/>
                  <wp:docPr descr="" title="" id="74" name="Picture"/>
                  <a:graphic>
                    <a:graphicData uri="http://schemas.openxmlformats.org/drawingml/2006/picture">
                      <pic:pic>
                        <pic:nvPicPr>
                          <pic:cNvPr descr="figures/chapter2/relative_power/overlap_maps_uncorrected.pdf" id="75" name="Picture"/>
                          <pic:cNvPicPr>
                            <a:picLocks noChangeArrowheads="1" noChangeAspect="1"/>
                          </pic:cNvPicPr>
                        </pic:nvPicPr>
                        <pic:blipFill>
                          <a:blip r:embed="rId73"/>
                          <a:stretch>
                            <a:fillRect/>
                          </a:stretch>
                        </pic:blipFill>
                        <pic:spPr bwMode="auto">
                          <a:xfrm>
                            <a:off x="0" y="0"/>
                            <a:ext cx="5334000" cy="849488"/>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Cross-modal spectral overlap between the iEEG atlas and source-reconstructed HD-EEG mapped onto the cortex, one panel per canonical band (left hemisphere, lateral and medial views), computed on uncorrected relative-power PSDs. Each bilateral MICCAI region is coloured by its band-averaged Afnan overlap on a fixed 0-1 scale — the metric is already bounded, so colour is comparable across bands and across regions; the strip reports the per-band mean overlap across regions. Hippocampus and amygdala have no cortical-surface geometry in the Frauscher ggsegpy atlas and are not shown.</w:t>
            </w:r>
          </w:p>
          <w:bookmarkEnd w:id="7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0" w:name="fig-overlap-pair-uncorrected"/>
          <w:p>
            <w:pPr>
              <w:pStyle w:val="Compact"/>
              <w:jc w:val="center"/>
            </w:pPr>
            <w:r>
              <w:drawing>
                <wp:inline>
                  <wp:extent cx="5334000" cy="4011236"/>
                  <wp:effectExtent b="0" l="0" r="0" t="0"/>
                  <wp:docPr descr="" title="" id="78" name="Picture"/>
                  <a:graphic>
                    <a:graphicData uri="http://schemas.openxmlformats.org/drawingml/2006/picture">
                      <pic:pic>
                        <pic:nvPicPr>
                          <pic:cNvPr descr="figures/chapter2/relative_power/overlap_pair_uncorrected.pdf" id="79" name="Picture"/>
                          <pic:cNvPicPr>
                            <a:picLocks noChangeArrowheads="1" noChangeAspect="1"/>
                          </pic:cNvPicPr>
                        </pic:nvPicPr>
                        <pic:blipFill>
                          <a:blip r:embed="rId77"/>
                          <a:stretch>
                            <a:fillRect/>
                          </a:stretch>
                        </pic:blipFill>
                        <pic:spPr bwMode="auto">
                          <a:xfrm>
                            <a:off x="0" y="0"/>
                            <a:ext cx="5334000" cy="401123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Uncorrected cross-modal overlap. A) five canonical EEG bands B) the 22 intervals defined in</w:t>
            </w:r>
            <w:r>
              <w:t xml:space="preserve"> </w:t>
            </w:r>
            <w:r>
              <w:t xml:space="preserve">Frauscher et al.</w:t>
            </w:r>
            <w:r>
              <w:t xml:space="preserve"> </w:t>
            </w:r>
            <w:r>
              <w:t xml:space="preserve">(2018)</w:t>
            </w:r>
            <w:r>
              <w:t xml:space="preserve">. Both panels are masked (grey) where the bootstrap 95% CI of the overlap includes 0 and carry a contrast dot where a reliable overlap sits on a flat residual (no significant rhythm in either modality — spurious agreement).</w:t>
            </w:r>
          </w:p>
          <w:bookmarkEnd w:id="80"/>
        </w:tc>
      </w:tr>
    </w:tbl>
    <w:bookmarkEnd w:id="81"/>
    <w:bookmarkStart w:id="83" w:name="sec-normarive-corrected"/>
    <w:p>
      <w:pPr>
        <w:pStyle w:val="Heading3"/>
      </w:pPr>
      <w:r>
        <w:t xml:space="preserve">Aperiodic-removed band power</w:t>
      </w:r>
    </w:p>
    <w:p>
      <w:pPr>
        <w:pStyle w:val="FirstParagraph"/>
      </w:pPr>
      <w:r>
        <w:t xml:space="preserve">We now repeat the same three views on the periodic part of the spectrum. Each channel is fit with specparam in its BIC-selected aperiodic mode (knee for iEEG, fixed for HD-EEG), and the fitted aperiodic component is subtracted from the normalised spectrum, so the per-band value is the channel’s oscillatory power in that band as a fraction of total power, on the same footing as the uncorrected relative band power above</w:t>
      </w:r>
    </w:p>
    <w:p>
      <w:pPr>
        <w:pStyle w:val="BodyText"/>
      </w:pPr>
      <w:r>
        <w:t xml:space="preserve">The specparam model captured the aperiodic background well in the iEEG atlas: across the 1772 channels the knee model reached a mean R² of 0.98 (± 0.01; median 0.985, only 4 channels below 0.90), with a mean offset of 5.10 ± 1.57 and an exponent of 3.39 ± 0.88, and a median knee frequency of 11.2 Hz (IQR 7.8-15.9). The fixed model on the 1444 source-reconstructed HD-EEG channels fit less well and far more variably (mean R² 0.91 ± 0.11, median 0.94; 376/1444 channels, 26%, fell below 0.90), with a much lower offset (−2.79 ± 0.58) and a shallower exponent (0.94 ± 0.33). Mean absolute error was comparable across modalities (0.087 vs 0.073 in log₁₀ power). The substantially poorer and more dispersed HD-EEG fits, together with the shallow exponent, indicate that the HD-EEG aperiodic estimate — and hence its oscillatory residual — is less reliable than the iEEG one.</w:t>
      </w:r>
    </w:p>
    <w:p>
      <w:pPr>
        <w:pStyle w:val="BodyText"/>
      </w:pPr>
      <w:r>
        <w:t xml:space="preserve">Removing the aperiodic background isolates the rhythmic peaks from the</w:t>
      </w:r>
      <w:r>
        <w:t xml:space="preserve"> </w:t>
      </w:r>
      <m:oMath>
        <m:r>
          <m:t>1</m:t>
        </m:r>
        <m:r>
          <m:rPr>
            <m:sty m:val="p"/>
          </m:rPr>
          <m:t>/</m:t>
        </m:r>
        <m:r>
          <m:t>f</m:t>
        </m:r>
      </m:oMath>
      <w:r>
        <w:t xml:space="preserve"> </w:t>
      </w:r>
      <w:r>
        <w:t xml:space="preserve">tail, so the correspondence is no longer inflated (or, in gamma, depressed) by the steepness of the background. The closure constraint still applies — the linear residual is normalised to total power — so these per-band correlations remain descriptive.</w:t>
      </w:r>
    </w:p>
    <w:p>
      <w:pPr>
        <w:pStyle w:val="BodyText"/>
      </w:pPr>
      <w:r>
        <w:t xml:space="preserve">The fitted aperiodic parameters summarise each modality’s</w:t>
      </w:r>
      <w:r>
        <w:t xml:space="preserve"> </w:t>
      </w:r>
      <m:oMath>
        <m:r>
          <m:t>1</m:t>
        </m:r>
        <m:r>
          <m:rPr>
            <m:sty m:val="p"/>
          </m:rPr>
          <m:t>/</m:t>
        </m:r>
        <m:r>
          <m:t>f</m:t>
        </m:r>
      </m:oMath>
      <w:r>
        <w:t xml:space="preserve"> </w:t>
      </w:r>
      <w:r>
        <w:t xml:space="preserve">background — iEEG fit with a knee, HD-EEG with the fixed (knee-free) model. Offset and exponent are mean ± sd across channels; the knee is reported as the knee</w:t>
      </w:r>
      <w:r>
        <w:t xml:space="preserve"> </w:t>
      </w:r>
      <w:r>
        <w:rPr>
          <w:i/>
          <w:iCs/>
        </w:rPr>
        <w:t xml:space="preserve">frequency</w:t>
      </w:r>
      <w:r>
        <w:t xml:space="preserve"> </w:t>
      </w:r>
      <w:r>
        <w:t xml:space="preserve">(</w:t>
      </w:r>
      <m:oMath>
        <m:sSup>
          <m:e>
            <m:r>
              <m:rPr>
                <m:nor/>
                <m:sty m:val="p"/>
              </m:rPr>
              <m:t>knee</m:t>
            </m:r>
          </m:e>
          <m:sup>
            <m:r>
              <m:t>1</m:t>
            </m:r>
            <m:r>
              <m:rPr>
                <m:sty m:val="p"/>
              </m:rPr>
              <m:t>/</m:t>
            </m:r>
            <m:r>
              <m:t>χ</m:t>
            </m:r>
          </m:sup>
        </m:sSup>
      </m:oMath>
      <w:r>
        <w:t xml:space="preserve">, in Hz) as median [IQR], since the raw knee parameter is heavy-tailed (a few channels push the knee out of band).</w:t>
      </w:r>
    </w:p>
    <w:tbl>
      <w:tblPr>
        <w:tblStyle w:val="Table"/>
        <w:tblW w:type="pct" w:w="5000"/>
        <w:tblLayout w:type="fixed"/>
        <w:tblLook w:firstRow="0" w:lastRow="0" w:firstColumn="0" w:lastColumn="0" w:noHBand="0" w:noVBand="0" w:val="0000"/>
      </w:tblPr>
      <w:tblGrid>
        <w:gridCol w:w="7920"/>
      </w:tblGrid>
      <w:tr>
        <w:tc>
          <w:tcPr/>
          <w:bookmarkStart w:id="82" w:name="tbl-aperiodic-params"/>
          <w:p>
            <w:pPr>
              <w:jc w:val="center"/>
            </w:pPr>
            <w:pPr>
              <w:jc w:val="left"/>
              <w:spacing w:before="200"/>
              <w:pStyle w:val="ImageCaption"/>
            </w:pPr>
            <w:r>
              <w:t xml:space="preserve">Table 1: Fitted aperiodic parameters per modality.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modality</w:t>
                  </w:r>
                </w:p>
              </w:tc>
              <w:tc>
                <w:tcPr/>
                <w:p>
                  <w:pPr>
                    <w:pStyle w:val="Compact"/>
                    <w:jc w:val="center"/>
                  </w:pPr>
                  <w:r>
                    <w:t xml:space="preserve">n channels</w:t>
                  </w:r>
                </w:p>
              </w:tc>
              <w:tc>
                <w:tcPr/>
                <w:p>
                  <w:pPr>
                    <w:pStyle w:val="Compact"/>
                    <w:jc w:val="center"/>
                  </w:pPr>
                  <w:r>
                    <w:t xml:space="preserve">offset</w:t>
                  </w:r>
                </w:p>
              </w:tc>
              <w:tc>
                <w:tcPr/>
                <w:p>
                  <w:pPr>
                    <w:pStyle w:val="Compact"/>
                    <w:jc w:val="center"/>
                  </w:pPr>
                  <w:r>
                    <w:t xml:space="preserve">exponent</w:t>
                  </w:r>
                </w:p>
              </w:tc>
              <w:tc>
                <w:tcPr/>
                <w:p>
                  <w:pPr>
                    <w:pStyle w:val="Compact"/>
                    <w:jc w:val="center"/>
                  </w:pPr>
                  <w:r>
                    <w:t xml:space="preserve">knee freq (Hz)</w:t>
                  </w:r>
                </w:p>
              </w:tc>
              <w:tc>
                <w:tcPr/>
                <w:p>
                  <w:pPr>
                    <w:pStyle w:val="Compact"/>
                    <w:jc w:val="center"/>
                  </w:pPr>
                  <w:r>
                    <w:t xml:space="preserve">R² (mean)</w:t>
                  </w:r>
                </w:p>
              </w:tc>
            </w:tr>
            <w:tr>
              <w:tc>
                <w:tcPr/>
                <w:p>
                  <w:pPr>
                    <w:pStyle w:val="Compact"/>
                    <w:jc w:val="center"/>
                  </w:pPr>
                  <w:r>
                    <w:t xml:space="preserve">iEEG (knee)</w:t>
                  </w:r>
                </w:p>
              </w:tc>
              <w:tc>
                <w:tcPr/>
                <w:p>
                  <w:pPr>
                    <w:pStyle w:val="Compact"/>
                    <w:jc w:val="center"/>
                  </w:pPr>
                  <w:r>
                    <w:t xml:space="preserve">1772</w:t>
                  </w:r>
                </w:p>
              </w:tc>
              <w:tc>
                <w:tcPr/>
                <w:p>
                  <w:pPr>
                    <w:pStyle w:val="Compact"/>
                    <w:jc w:val="center"/>
                  </w:pPr>
                  <w:r>
                    <w:t xml:space="preserve">5.096 ± 1.570</w:t>
                  </w:r>
                </w:p>
              </w:tc>
              <w:tc>
                <w:tcPr/>
                <w:p>
                  <w:pPr>
                    <w:pStyle w:val="Compact"/>
                    <w:jc w:val="center"/>
                  </w:pPr>
                  <w:r>
                    <w:t xml:space="preserve">3.392 ± 0.884</w:t>
                  </w:r>
                </w:p>
              </w:tc>
              <w:tc>
                <w:tcPr/>
                <w:p>
                  <w:pPr>
                    <w:pStyle w:val="Compact"/>
                    <w:jc w:val="center"/>
                  </w:pPr>
                  <w:r>
                    <w:t xml:space="preserve">11.23 [7.76, 15.92]</w:t>
                  </w:r>
                </w:p>
              </w:tc>
              <w:tc>
                <w:tcPr/>
                <w:p>
                  <w:pPr>
                    <w:pStyle w:val="Compact"/>
                    <w:jc w:val="center"/>
                  </w:pPr>
                  <w:r>
                    <w:t xml:space="preserve">0.982</w:t>
                  </w:r>
                </w:p>
              </w:tc>
            </w:tr>
            <w:tr>
              <w:tc>
                <w:tcPr/>
                <w:p>
                  <w:pPr>
                    <w:pStyle w:val="Compact"/>
                    <w:jc w:val="center"/>
                  </w:pPr>
                  <w:r>
                    <w:t xml:space="preserve">HD-EEG (fixed)</w:t>
                  </w:r>
                </w:p>
              </w:tc>
              <w:tc>
                <w:tcPr/>
                <w:p>
                  <w:pPr>
                    <w:pStyle w:val="Compact"/>
                    <w:jc w:val="center"/>
                  </w:pPr>
                  <w:r>
                    <w:t xml:space="preserve">1444</w:t>
                  </w:r>
                </w:p>
              </w:tc>
              <w:tc>
                <w:tcPr/>
                <w:p>
                  <w:pPr>
                    <w:pStyle w:val="Compact"/>
                    <w:jc w:val="center"/>
                  </w:pPr>
                  <w:r>
                    <w:t xml:space="preserve">-2.787 ± 0.577</w:t>
                  </w:r>
                </w:p>
              </w:tc>
              <w:tc>
                <w:tcPr/>
                <w:p>
                  <w:pPr>
                    <w:pStyle w:val="Compact"/>
                    <w:jc w:val="center"/>
                  </w:pPr>
                  <w:r>
                    <w:t xml:space="preserve">0.944 ± 0.325</w:t>
                  </w:r>
                </w:p>
              </w:tc>
              <w:tc>
                <w:tcPr/>
                <w:p>
                  <w:pPr>
                    <w:pStyle w:val="Compact"/>
                    <w:jc w:val="center"/>
                  </w:pPr>
                  <w:r>
                    <w:t xml:space="preserve">—</w:t>
                  </w:r>
                </w:p>
              </w:tc>
              <w:tc>
                <w:tcPr/>
                <w:p>
                  <w:pPr>
                    <w:pStyle w:val="Compact"/>
                    <w:jc w:val="center"/>
                  </w:pPr>
                  <w:r>
                    <w:t xml:space="preserve">0.908</w:t>
                  </w:r>
                </w:p>
              </w:tc>
            </w:tr>
          </w:tbl>
          <w:bookmarkEnd w:id="82"/>
          <w:p/>
        </w:tc>
      </w:tr>
    </w:tbl>
    <w:bookmarkEnd w:id="83"/>
    <w:bookmarkStart w:id="92" w:name="band-power-map-on-corrected-spectra"/>
    <w:p>
      <w:pPr>
        <w:pStyle w:val="Heading3"/>
      </w:pPr>
      <w:r>
        <w:t xml:space="preserve">Band-power map on corrected spectra</w:t>
      </w:r>
    </w:p>
    <w:tbl>
      <w:tblPr>
        <w:tblStyle w:val="Table"/>
        <w:tblW w:type="pct" w:w="5000"/>
        <w:tblLayout w:type="fixed"/>
        <w:tblLook w:firstRow="0" w:lastRow="0" w:firstColumn="0" w:lastColumn="0" w:noHBand="0" w:noVBand="0" w:val="0000"/>
      </w:tblPr>
      <w:tblGrid>
        <w:gridCol w:w="7920"/>
      </w:tblGrid>
      <w:tr>
        <w:tc>
          <w:tcPr/>
          <w:bookmarkStart w:id="87" w:name="fig-relpower-maps-corrected"/>
          <w:p>
            <w:pPr>
              <w:pStyle w:val="Compact"/>
              <w:jc w:val="center"/>
            </w:pPr>
            <w:r>
              <w:drawing>
                <wp:inline>
                  <wp:extent cx="5334000" cy="1205088"/>
                  <wp:effectExtent b="0" l="0" r="0" t="0"/>
                  <wp:docPr descr="" title="" id="85" name="Picture"/>
                  <a:graphic>
                    <a:graphicData uri="http://schemas.openxmlformats.org/drawingml/2006/picture">
                      <pic:pic>
                        <pic:nvPicPr>
                          <pic:cNvPr descr="figures/chapter2/relative_power/relpower_maps_corrected.pdf" id="86" name="Picture"/>
                          <pic:cNvPicPr>
                            <a:picLocks noChangeArrowheads="1" noChangeAspect="1"/>
                          </pic:cNvPicPr>
                        </pic:nvPicPr>
                        <pic:blipFill>
                          <a:blip r:embed="rId84"/>
                          <a:stretch>
                            <a:fillRect/>
                          </a:stretch>
                        </pic:blipFill>
                        <pic:spPr bwMode="auto">
                          <a:xfrm>
                            <a:off x="0" y="0"/>
                            <a:ext cx="5334000" cy="1205088"/>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Group-average oscillatory residual per ROI (aperiodic component removed), faceted by canonical band (columns) and modality (rows: iEEG top, HD-EEG source bottom). Colour is each band’s residual min-max normalised across both modalities (per-band shared scale), so the within-band spatial pattern is comparable across modalities. Hippocampus and amygdala have no cortical-surface geometry in the Frauscher ggsegpy atlas and are not shown.</w:t>
            </w:r>
          </w:p>
          <w:bookmarkEnd w:id="8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1" w:name="fig-relpower-heatmaps-corrected"/>
          <w:p>
            <w:pPr>
              <w:pStyle w:val="Compact"/>
              <w:jc w:val="center"/>
            </w:pPr>
            <w:r>
              <w:drawing>
                <wp:inline>
                  <wp:extent cx="5334000" cy="6412270"/>
                  <wp:effectExtent b="0" l="0" r="0" t="0"/>
                  <wp:docPr descr="" title="" id="89" name="Picture"/>
                  <a:graphic>
                    <a:graphicData uri="http://schemas.openxmlformats.org/drawingml/2006/picture">
                      <pic:pic>
                        <pic:nvPicPr>
                          <pic:cNvPr descr="figures/chapter2/relative_power/relpower_heatmaps_corrected.pdf" id="90" name="Picture"/>
                          <pic:cNvPicPr>
                            <a:picLocks noChangeArrowheads="1" noChangeAspect="1"/>
                          </pic:cNvPicPr>
                        </pic:nvPicPr>
                        <pic:blipFill>
                          <a:blip r:embed="rId88"/>
                          <a:stretch>
                            <a:fillRect/>
                          </a:stretch>
                        </pic:blipFill>
                        <pic:spPr bwMode="auto">
                          <a:xfrm>
                            <a:off x="0" y="0"/>
                            <a:ext cx="5334000" cy="641227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Median oscillatory band power per bilateral region after specparam aperiodic correction — the aperiodic-removed twin of</w:t>
            </w:r>
            <w:r>
              <w:t xml:space="preserve"> </w:t>
            </w:r>
            <w:hyperlink w:anchor="fig-relpower-heatmaps">
              <w:r>
                <w:rPr>
                  <w:rStyle w:val="Hyperlink"/>
                </w:rPr>
                <w:t xml:space="preserve">Figure 9</w:t>
              </w:r>
            </w:hyperlink>
            <w:r>
              <w:t xml:space="preserve">, same stacked layout: iEEG (top, A-B) over HD-EEG (bottom, C-D), canonical bands (left) and the 22 Frauscher intervals (right). Each cell is the median across the region’s channels of the within-band oscillatory residual (a fraction of total power, so directly comparable to the uncorrected relative band power); each panel has its own colorbar auto-scaled to its maximum. The sub-1 Hz Frauscher interval is blank (the residual is defined on the 1-80 Hz fit grid). Rows are bilateral MICCAI regions grouped by lobe, with lobe-coloured labels.</w:t>
            </w:r>
          </w:p>
          <w:bookmarkEnd w:id="91"/>
        </w:tc>
      </w:tr>
    </w:tbl>
    <w:bookmarkEnd w:id="92"/>
    <w:bookmarkStart w:id="101" w:name="X8e1da40f69f8afe86bfbe2d8d99e3c0d083db46"/>
    <w:p>
      <w:pPr>
        <w:pStyle w:val="Heading3"/>
      </w:pPr>
      <w:r>
        <w:t xml:space="preserve">Crossmodal correlation and and cross-modal overlap comparison on corrected spectra</w:t>
      </w:r>
    </w:p>
    <w:p>
      <w:pPr>
        <w:pStyle w:val="FirstParagraph"/>
      </w:pPr>
      <w:r>
        <w:t xml:space="preserve">Across the 38 bilateral regions the oscillatory-residual maps corresponded most strongly in the alpha band (r = 0.65), with weaker positive correspondence in delta (r = 0.35), theta (r = 0.24) and beta (r = 0.26), and a negative correlation in gamma (r = −0.26;</w:t>
      </w:r>
      <w:r>
        <w:t xml:space="preserve"> </w:t>
      </w:r>
      <w:hyperlink w:anchor="fig-relpower-scatter-corrected">
        <w:r>
          <w:rPr>
            <w:rStyle w:val="Hyperlink"/>
          </w:rPr>
          <w:t xml:space="preserve">Figure 15</w:t>
        </w:r>
      </w:hyperlink>
      <w:r>
        <w:t xml:space="preserve">). In alpha the occipital and parietal regions carry the largest residual in both modalities, but the per-band fit sits below the identity line — for a given region the HD-EEG residual exceeds the atlas, i.e. source HD-EEG carries proportionally more alpha.</w:t>
      </w:r>
    </w:p>
    <w:p>
      <w:pPr>
        <w:pStyle w:val="BodyText"/>
      </w:pPr>
      <w:r>
        <w:t xml:space="preserve">Under the confidence-interval masking, reliable overlap of the aperiodic-removed spectra concentrated in delta and alpha across most regions, with beta in a subset; on the 22 Frauscher intervals most higher-frequency cells were masked (</w:t>
      </w:r>
      <w:r>
        <w:rPr>
          <w:b/>
          <w:bCs/>
        </w:rPr>
        <w:t xml:space="preserve">?@fig-overlap-pair-corrected</w:t>
      </w:r>
      <w:r>
        <w:t xml:space="preserve">). Conditioning instead on rhythm presence, the cells where both modalities carried a genuine rhythm were concentrated in alpha — high overlap in posterior regions — with some delta, whereas many beta and gamma cells were marked where the iEEG atlas carried a rhythm that source HD-EEG did not recover, most often in frontal and temporal regions (</w:t>
      </w:r>
      <w:hyperlink w:anchor="fig-overlap-corr-presence-gated-pair">
        <w:r>
          <w:rPr>
            <w:rStyle w:val="Hyperlink"/>
          </w:rPr>
          <w:t xml:space="preserve">Figure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6" w:name="fig-relpower-scatter-corrected"/>
          <w:p>
            <w:pPr>
              <w:pStyle w:val="Compact"/>
              <w:jc w:val="center"/>
            </w:pPr>
            <w:r>
              <w:drawing>
                <wp:inline>
                  <wp:extent cx="5334000" cy="1170516"/>
                  <wp:effectExtent b="0" l="0" r="0" t="0"/>
                  <wp:docPr descr="" title="" id="94" name="Picture"/>
                  <a:graphic>
                    <a:graphicData uri="http://schemas.openxmlformats.org/drawingml/2006/picture">
                      <pic:pic>
                        <pic:nvPicPr>
                          <pic:cNvPr descr="figures/chapter2/relative_power/relpower_scatter_corrected.pdf" id="95" name="Picture"/>
                          <pic:cNvPicPr>
                            <a:picLocks noChangeArrowheads="1" noChangeAspect="1"/>
                          </pic:cNvPicPr>
                        </pic:nvPicPr>
                        <pic:blipFill>
                          <a:blip r:embed="rId93"/>
                          <a:stretch>
                            <a:fillRect/>
                          </a:stretch>
                        </pic:blipFill>
                        <pic:spPr bwMode="auto">
                          <a:xfrm>
                            <a:off x="0" y="0"/>
                            <a:ext cx="5334000" cy="1170516"/>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Cross-modal correspondence of the aperiodic-removed (oscillatory residual) band power. Each panel is one canonical band; each point is one bilateral MICCAI region, source HD-EEG oscillatory residual on x and the iEEG atlas on y. Points are coloured by lobe, the solid line is the per-band OLS fit, and the dashed line marks identity (y = x). The residual is the specparam linear oscillatory power (band fraction of total) with the BIC-selected aperiodic component removed.</w:t>
            </w:r>
          </w:p>
          <w:bookmarkEnd w:id="96"/>
        </w:tc>
      </w:tr>
    </w:tbl>
    <w:p>
      <w:pPr>
        <w:pStyle w:val="BodyText"/>
      </w:pPr>
      <w:r>
        <w:t xml:space="preserve">In the residual spectra the band-overlap was strongest in delta and alpha across most regions, present in beta in a subset, and weakest in gamma (</w:t>
      </w:r>
      <w:r>
        <w:rPr>
          <w:b/>
          <w:bCs/>
        </w:rPr>
        <w:t xml:space="preserve">?@fig-overlap-pair-corrected</w:t>
      </w:r>
      <w:r>
        <w:t xml:space="preserve">, A); on the 22 Frauscher intervals the reliable cells concentrated in the low-frequency and alpha intervals, with much of the higher-frequency range masked where the bootstrap interval included zero (B).</w:t>
      </w:r>
      <w:r>
        <w:t xml:space="preserve"> </w:t>
      </w:r>
      <w:bookmarkStart w:id="100" w:name="fig-overlap-pair-corrected"/>
      <w:r>
        <w:drawing>
          <wp:inline>
            <wp:extent cx="5334000" cy="4011236"/>
            <wp:effectExtent b="0" l="0" r="0" t="0"/>
            <wp:docPr descr="Aperiodic-removed cross-modal overlap. A) five canonical EEG bands B) the 22 intervals defined in Frauscher et al. (2018). Both panels are masked (grey) where the bootstrap 95% CI of the overlap includes 0 and carry a contrast dot where a reliable overlap sits on a flat residual (no significant rhythm in either modality — spurious agreement)." title="" id="98" name="Picture"/>
            <a:graphic>
              <a:graphicData uri="http://schemas.openxmlformats.org/drawingml/2006/picture">
                <pic:pic>
                  <pic:nvPicPr>
                    <pic:cNvPr descr="figures/chapter2/relative_power/overlap_pair_corrected.pdf" id="99" name="Picture"/>
                    <pic:cNvPicPr>
                      <a:picLocks noChangeArrowheads="1" noChangeAspect="1"/>
                    </pic:cNvPicPr>
                  </pic:nvPicPr>
                  <pic:blipFill>
                    <a:blip r:embed="rId97"/>
                    <a:stretch>
                      <a:fillRect/>
                    </a:stretch>
                  </pic:blipFill>
                  <pic:spPr bwMode="auto">
                    <a:xfrm>
                      <a:off x="0" y="0"/>
                      <a:ext cx="5334000" cy="4011236"/>
                    </a:xfrm>
                    <a:prstGeom prst="rect">
                      <a:avLst/>
                    </a:prstGeom>
                    <a:noFill/>
                    <a:ln w="9525">
                      <a:noFill/>
                      <a:headEnd/>
                      <a:tailEnd/>
                    </a:ln>
                  </pic:spPr>
                </pic:pic>
              </a:graphicData>
            </a:graphic>
          </wp:inline>
        </w:drawing>
      </w:r>
      <w:bookmarkEnd w:id="100"/>
    </w:p>
    <w:bookmarkEnd w:id="101"/>
    <w:bookmarkStart w:id="106" w:name="Xe7c991209a954849270a973e261ffcc54de6e67"/>
    <w:p>
      <w:pPr>
        <w:pStyle w:val="Heading3"/>
      </w:pPr>
      <w:r>
        <w:t xml:space="preserve">Presence-conditioned overlap (peaks-presence bootstrap)</w:t>
      </w:r>
    </w:p>
    <w:p>
      <w:pPr>
        <w:pStyle w:val="FirstParagraph"/>
      </w:pPr>
      <w:r>
        <w:t xml:space="preserve">As an alternative to conditioning on the overlap’s own confidence interval, we condition on whether a rhythm is actually present. This uses the same subject-clustered bootstrap of the oscillatory-residual band power (95% CI &gt; 0), referenced to the iEEG atlas, to drive the canonical-band overlap shown in</w:t>
      </w:r>
      <w:r>
        <w:t xml:space="preserve"> </w:t>
      </w:r>
      <w:hyperlink w:anchor="fig-overlap-corr-presence-gated-pair">
        <w:r>
          <w:rPr>
            <w:rStyle w:val="Hyperlink"/>
          </w:rPr>
          <w:t xml:space="preserve">Figure 16</w:t>
        </w:r>
      </w:hyperlink>
      <w:r>
        <w:t xml:space="preserve">.</w:t>
      </w:r>
    </w:p>
    <w:p>
      <w:pPr>
        <w:pStyle w:val="BodyText"/>
      </w:pPr>
      <w:r>
        <w:t xml:space="preserve">Conditioning on rhythm presence restricts the comparison to cells where both modalities carry a genuine rhythm (</w:t>
      </w:r>
      <w:hyperlink w:anchor="fig-overlap-corr-presence-gated-pair">
        <w:r>
          <w:rPr>
            <w:rStyle w:val="Hyperlink"/>
          </w:rPr>
          <w:t xml:space="preserve">Figure 16</w:t>
        </w:r>
      </w:hyperlink>
      <w:r>
        <w:t xml:space="preserve">). These concentrate in the alpha band — high overlap in posterior regions — together with some delta, whereas many beta and gamma cells are marked where the iEEG atlas carries a rhythm that HD-EEG did not recover, most often in frontal and temporal regions.</w:t>
      </w:r>
    </w:p>
    <w:tbl>
      <w:tblPr>
        <w:tblStyle w:val="Table"/>
        <w:tblW w:type="pct" w:w="5000"/>
        <w:tblLayout w:type="fixed"/>
        <w:tblLook w:firstRow="0" w:lastRow="0" w:firstColumn="0" w:lastColumn="0" w:noHBand="0" w:noVBand="0" w:val="0000"/>
      </w:tblPr>
      <w:tblGrid>
        <w:gridCol w:w="7920"/>
      </w:tblGrid>
      <w:tr>
        <w:tc>
          <w:tcPr/>
          <w:bookmarkStart w:id="105" w:name="fig-overlap-corr-presence-gated-pair"/>
          <w:p>
            <w:pPr>
              <w:pStyle w:val="Compact"/>
              <w:jc w:val="center"/>
            </w:pPr>
            <w:r>
              <w:drawing>
                <wp:inline>
                  <wp:extent cx="5334000" cy="4011236"/>
                  <wp:effectExtent b="0" l="0" r="0" t="0"/>
                  <wp:docPr descr="" title="" id="103" name="Picture"/>
                  <a:graphic>
                    <a:graphicData uri="http://schemas.openxmlformats.org/drawingml/2006/picture">
                      <pic:pic>
                        <pic:nvPicPr>
                          <pic:cNvPr descr="figures/chapter2/relative_power/overlap_pair_corrected_presencegated.pdf" id="104" name="Picture"/>
                          <pic:cNvPicPr>
                            <a:picLocks noChangeArrowheads="1" noChangeAspect="1"/>
                          </pic:cNvPicPr>
                        </pic:nvPicPr>
                        <pic:blipFill>
                          <a:blip r:embed="rId102"/>
                          <a:stretch>
                            <a:fillRect/>
                          </a:stretch>
                        </pic:blipFill>
                        <pic:spPr bwMode="auto">
                          <a:xfrm>
                            <a:off x="0" y="0"/>
                            <a:ext cx="5334000" cy="4011236"/>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Presence-conditioned cross-modal overlap of the aperiodic-removed residual, the two band schemes side by side: five canonical EEG bands (left) and the 22 Frauscher intervals (right), at their natural asymmetric width. In both panels the Afnan overlap is coloured only where a subject-clustered bootstrap (whole subjects resampled — iEEG patients, HD datasets; 95% CI of the mean residual band power excludes 0) finds a rhythm in</w:t>
            </w:r>
            <w:r>
              <w:t xml:space="preserve"> </w:t>
            </w:r>
            <w:r>
              <w:rPr>
                <w:b/>
                <w:bCs/>
              </w:rPr>
              <w:t xml:space="preserve">both</w:t>
            </w:r>
            <w:r>
              <w:t xml:space="preserve"> </w:t>
            </w:r>
            <w:r>
              <w:t xml:space="preserve">modalities; cells are masked where no rhythm is present in both and marked × where the iEEG atlas carries a rhythm that HD-EEG did not recover. Same renderer as the confidence-interval pair (</w:t>
            </w:r>
            <w:r>
              <w:rPr>
                <w:b/>
                <w:bCs/>
              </w:rPr>
              <w:t xml:space="preserve">?@fig-overlap-pair-corrected</w:t>
            </w:r>
            <w:r>
              <w:t xml:space="preserve">); only the masking rule differs (presence rather than the overlap’s confidence interval), and the band scheme differs between panels.</w:t>
            </w:r>
          </w:p>
          <w:bookmarkEnd w:id="105"/>
        </w:tc>
      </w:tr>
    </w:tbl>
    <w:bookmarkEnd w:id="106"/>
    <w:bookmarkStart w:id="115" w:name="Xd7742bddad27a33824bc775e1be905ce03c5713"/>
    <w:p>
      <w:pPr>
        <w:pStyle w:val="Heading3"/>
      </w:pPr>
      <w:r>
        <w:t xml:space="preserve">Cross-modal overlap before and after aperiodic correction</w:t>
      </w:r>
    </w:p>
    <w:p>
      <w:pPr>
        <w:pStyle w:val="FirstParagraph"/>
      </w:pPr>
      <w:r>
        <w:t xml:space="preserve">Removing the aperiodic component changes the cross-modal picture, and the change depends on how the oscillatory residual is defined. We computed the per-lobe oscillatory spectrum in 2 Hz bins under four extractors — the detrended residual and the modelled (specparam-peak) power, each in a log and a linear form — and compared modalities with a subject-clustered bootstrap (per-lobe mean ± 95% CI,</w:t>
      </w:r>
      <w:r>
        <w:t xml:space="preserve"> </w:t>
      </w:r>
      <w:hyperlink w:anchor="fig-residual-state">
        <w:r>
          <w:rPr>
            <w:rStyle w:val="Hyperlink"/>
          </w:rPr>
          <w:t xml:space="preserve">Figure 17</w:t>
        </w:r>
      </w:hyperlink>
      <w:r>
        <w:t xml:space="preserve">) and a frequency cluster-permutation test (Maris-Oostenveld, resampling whole subjects) that controls the family-wise error across frequency (</w:t>
      </w:r>
      <w:hyperlink w:anchor="fig-residual-diff">
        <w:r>
          <w:rPr>
            <w:rStyle w:val="Hyperlink"/>
          </w:rPr>
          <w:t xml:space="preserve">Figure 18</w:t>
        </w:r>
      </w:hyperlink>
      <w:r>
        <w:t xml:space="preserve">).</w:t>
      </w:r>
    </w:p>
    <w:p>
      <w:pPr>
        <w:pStyle w:val="BodyText"/>
      </w:pPr>
      <w:r>
        <w:t xml:space="preserve">The</w:t>
      </w:r>
      <w:r>
        <w:t xml:space="preserve"> </w:t>
      </w:r>
      <w:r>
        <w:rPr>
          <w:b/>
          <w:bCs/>
        </w:rPr>
        <w:t xml:space="preserve">modelled</w:t>
      </w:r>
      <w:r>
        <w:t xml:space="preserve"> </w:t>
      </w:r>
      <w:r>
        <w:t xml:space="preserve">rhythmic power — the measure that does not depend on the accuracy of the aperiodic fit — shows iEEG and HD-EEG differing in a contiguous beta/low-gamma cluster (~25-48 Hz, iEEG higher) across most lobes, and a parietal alpha cluster (~10-12 Hz) where HD-EEG is higher; occipital high-gamma is again higher in iEEG. The</w:t>
      </w:r>
      <w:r>
        <w:t xml:space="preserve"> </w:t>
      </w:r>
      <w:r>
        <w:rPr>
          <w:b/>
          <w:bCs/>
        </w:rPr>
        <w:t xml:space="preserve">detrended residual</w:t>
      </w:r>
      <w:r>
        <w:t xml:space="preserve"> </w:t>
      </w:r>
      <w:r>
        <w:t xml:space="preserve">reproduces the beta excess but adds a broad high-frequency cluster (~55-80 Hz) in which HD-EEG appears systematically higher than iEEG across every lobe. This high-frequency block is present in the residual but absent from the modelled measure, identifying it as aperiodic-tail/noise leakage rather than a rhythm — exactly the conflation that</w:t>
      </w:r>
      <w:r>
        <w:t xml:space="preserve"> </w:t>
      </w:r>
      <w:r>
        <w:t xml:space="preserve">Castanheira et al. (2026)</w:t>
      </w:r>
      <w:r>
        <w:t xml:space="preserve"> </w:t>
      </w:r>
      <w:r>
        <w:t xml:space="preserve">predict for detrended spectra.</w:t>
      </w:r>
      <w:r>
        <w:t xml:space="preserve"> </w:t>
      </w:r>
      <w:r>
        <w:t xml:space="preserve"> </w:t>
      </w:r>
      <w:r>
        <w:t xml:space="preserve">The log and linear residuals agree on the sign and location of the clusters but differ in magnitude, as expected from their different units.</w:t>
      </w:r>
    </w:p>
    <w:p>
      <w:pPr>
        <w:pStyle w:val="BodyText"/>
      </w:pPr>
      <w:r>
        <w:t xml:space="preserve">We therefore read the modelled-peak comparison as the substantive cross-modal result: the rhythms that survive aperiodic separation correspond across modalities chiefly in the alpha band, with a beta/low-gamma offset, whereas the apparent high-frequency cross-modal difference in the subtraction residual is an artefact of the aperiodic background rather than a difference in oscillatory activity.</w:t>
      </w:r>
    </w:p>
    <w:tbl>
      <w:tblPr>
        <w:tblStyle w:val="Table"/>
        <w:tblW w:type="pct" w:w="5000"/>
        <w:tblLayout w:type="fixed"/>
        <w:tblLook w:firstRow="0" w:lastRow="0" w:firstColumn="0" w:lastColumn="0" w:noHBand="0" w:noVBand="0" w:val="0000"/>
      </w:tblPr>
      <w:tblGrid>
        <w:gridCol w:w="7920"/>
      </w:tblGrid>
      <w:tr>
        <w:tc>
          <w:tcPr/>
          <w:bookmarkStart w:id="110" w:name="fig-residual-state"/>
          <w:p>
            <w:pPr>
              <w:pStyle w:val="Compact"/>
              <w:jc w:val="center"/>
            </w:pPr>
            <w:r>
              <w:drawing>
                <wp:inline>
                  <wp:extent cx="5334000" cy="5867400"/>
                  <wp:effectExtent b="0" l="0" r="0" t="0"/>
                  <wp:docPr descr="" title="" id="108" name="Picture"/>
                  <a:graphic>
                    <a:graphicData uri="http://schemas.openxmlformats.org/drawingml/2006/picture">
                      <pic:pic>
                        <pic:nvPicPr>
                          <pic:cNvPr descr="figures/chapter2/peaks/lobe_oscillatory_state_bootstrap.pdf" id="109" name="Picture"/>
                          <pic:cNvPicPr>
                            <a:picLocks noChangeArrowheads="1" noChangeAspect="1"/>
                          </pic:cNvPicPr>
                        </pic:nvPicPr>
                        <pic:blipFill>
                          <a:blip r:embed="rId107"/>
                          <a:stretch>
                            <a:fillRect/>
                          </a:stretch>
                        </pic:blipFill>
                        <pic:spPr bwMode="auto">
                          <a:xfrm>
                            <a:off x="0" y="0"/>
                            <a:ext cx="5334000" cy="5867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Per-lobe oscillatory power in 2 Hz bins (subject-clustered bootstrap mean ± 95% CI), for the four extractors (rows: detrended residual / modelled, in log and linear form) and the two modalities (columns). Lines coloured by lobe.</w:t>
            </w:r>
          </w:p>
          <w:bookmarkEnd w:id="11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4" w:name="fig-residual-diff"/>
          <w:p>
            <w:pPr>
              <w:pStyle w:val="Compact"/>
              <w:jc w:val="center"/>
            </w:pPr>
            <w:r>
              <w:drawing>
                <wp:inline>
                  <wp:extent cx="4267200" cy="5215466"/>
                  <wp:effectExtent b="0" l="0" r="0" t="0"/>
                  <wp:docPr descr="" title="" id="112" name="Picture"/>
                  <a:graphic>
                    <a:graphicData uri="http://schemas.openxmlformats.org/drawingml/2006/picture">
                      <pic:pic>
                        <pic:nvPicPr>
                          <pic:cNvPr descr="figures/chapter2/peaks/lobe_oscillatory_diff_bootstrap.pdf" id="113" name="Picture"/>
                          <pic:cNvPicPr>
                            <a:picLocks noChangeArrowheads="1" noChangeAspect="1"/>
                          </pic:cNvPicPr>
                        </pic:nvPicPr>
                        <pic:blipFill>
                          <a:blip r:embed="rId111"/>
                          <a:stretch>
                            <a:fillRect/>
                          </a:stretch>
                        </pic:blipFill>
                        <pic:spPr bwMode="auto">
                          <a:xfrm>
                            <a:off x="0" y="0"/>
                            <a:ext cx="4267200" cy="52154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Cross-modal difference (iEEG − HD-EEG) per extractor: Welch</w:t>
            </w:r>
            <w:r>
              <w:t xml:space="preserve"> </w:t>
            </w:r>
            <m:oMath>
              <m:r>
                <m:t>t</m:t>
              </m:r>
            </m:oMath>
            <w:r>
              <w:t xml:space="preserve"> </w:t>
            </w:r>
            <w:r>
              <w:t xml:space="preserve">over lobe × 2 Hz bin; black dots mark frequency clusters significant under subject-level permutation (</w:t>
            </w:r>
            <m:oMath>
              <m:r>
                <m:t>p</m:t>
              </m:r>
              <m:r>
                <m:rPr>
                  <m:sty m:val="p"/>
                </m:rPr>
                <m:t>&lt;</m:t>
              </m:r>
              <m:r>
                <m:t>0.05</m:t>
              </m:r>
            </m:oMath>
            <w:r>
              <w:t xml:space="preserve">, family-wise controlled). The high-frequency HD-higher cluster appears only in the residual, not the modelled, rows.</w:t>
            </w:r>
          </w:p>
          <w:bookmarkEnd w:id="114"/>
        </w:tc>
      </w:tr>
    </w:tbl>
    <w:bookmarkEnd w:id="115"/>
    <w:bookmarkEnd w:id="116"/>
    <w:bookmarkStart w:id="155" w:name="directly-modelled-specparam-peaks-1"/>
    <w:p>
      <w:pPr>
        <w:pStyle w:val="Heading2"/>
      </w:pPr>
      <w:r>
        <w:t xml:space="preserve">Directly modelled specparam peaks</w:t>
      </w:r>
    </w:p>
    <w:bookmarkStart w:id="137" w:name="description-of-distribution-of-peaks"/>
    <w:p>
      <w:pPr>
        <w:pStyle w:val="Heading3"/>
      </w:pPr>
      <w:r>
        <w:t xml:space="preserve">Description of distribution of peaks</w:t>
      </w:r>
    </w:p>
    <w:p>
      <w:pPr>
        <w:pStyle w:val="FirstParagraph"/>
      </w:pPr>
      <w:r>
        <w:rPr>
          <w:b/>
          <w:bCs/>
        </w:rPr>
        <w:t xml:space="preserve">Centre frequency and dominant rhythm.</w:t>
      </w:r>
      <w:r>
        <w:t xml:space="preserve"> </w:t>
      </w:r>
      <w:r>
        <w:t xml:space="preserve">Because canonical-band assignment is sensitive to peaks near a band edge, we also examined the fitted centre frequencies directly. The HD-EEG centre-frequency distribution is a sharp alpha mode at ~10 Hz, sitting squarely against the 8 and 13 Hz band edges, whereas iEEG peaks are broadly distributed with an additional high-gamma cluster near 70 Hz (</w:t>
      </w:r>
      <w:hyperlink w:anchor="fig-centre-freq">
        <w:r>
          <w:rPr>
            <w:rStyle w:val="Hyperlink"/>
          </w:rPr>
          <w:t xml:space="preserve">Figure 19</w:t>
        </w:r>
      </w:hyperlink>
      <w:r>
        <w:t xml:space="preserve">). The per-region dominant peak frequency — the centre frequency of the single highest-amplitude peak — is alpha-locked across almost all regions in HD-EEG but scatters into beta and gamma for several frontal and temporal regions in iEEG (</w:t>
      </w:r>
      <w:hyperlink w:anchor="fig-dominant-dumbbell">
        <w:r>
          <w:rPr>
            <w:rStyle w:val="Hyperlink"/>
          </w:rPr>
          <w:t xml:space="preserve">Figure 20</w:t>
        </w:r>
      </w:hyperlink>
      <w:r>
        <w:t xml:space="preserve">). The full per-region distribution of peak frequencies confirms a narrow posterior alpha ridge in HD against broader, multimodal iEEG ridges (</w:t>
      </w:r>
      <w:hyperlink w:anchor="fig-region-ridges">
        <w:r>
          <w:rPr>
            <w:rStyle w:val="Hyperlink"/>
          </w:rPr>
          <w:t xml:space="preserve">Figure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0" w:name="fig-centre-freq"/>
          <w:p>
            <w:pPr>
              <w:pStyle w:val="Compact"/>
              <w:jc w:val="center"/>
            </w:pPr>
            <w:r>
              <w:drawing>
                <wp:inline>
                  <wp:extent cx="4267200" cy="1866900"/>
                  <wp:effectExtent b="0" l="0" r="0" t="0"/>
                  <wp:docPr descr="" title="" id="118" name="Picture"/>
                  <a:graphic>
                    <a:graphicData uri="http://schemas.openxmlformats.org/drawingml/2006/picture">
                      <pic:pic>
                        <pic:nvPicPr>
                          <pic:cNvPr descr="figures/chapter2/peaks/peak_centre_frequency_distribution.pdf" id="119" name="Picture"/>
                          <pic:cNvPicPr>
                            <a:picLocks noChangeArrowheads="1" noChangeAspect="1"/>
                          </pic:cNvPicPr>
                        </pic:nvPicPr>
                        <pic:blipFill>
                          <a:blip r:embed="rId117"/>
                          <a:stretch>
                            <a:fillRect/>
                          </a:stretch>
                        </pic:blipFill>
                        <pic:spPr bwMode="auto">
                          <a:xfrm>
                            <a:off x="0" y="0"/>
                            <a:ext cx="42672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Distribution of fitted peak centre frequencies per modality, against the canonical band edges (dashed). HD-EEG shows a single sharp ~10 Hz alpha mode; iEEG is broad with a high-gamma cluster.</w:t>
            </w:r>
          </w:p>
          <w:bookmarkEnd w:id="12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4" w:name="fig-dominant-dumbbell"/>
          <w:p>
            <w:pPr>
              <w:pStyle w:val="Compact"/>
              <w:jc w:val="center"/>
            </w:pPr>
            <w:r>
              <w:drawing>
                <wp:inline>
                  <wp:extent cx="3733800" cy="4189450"/>
                  <wp:effectExtent b="0" l="0" r="0" t="0"/>
                  <wp:docPr descr="" title="" id="122" name="Picture"/>
                  <a:graphic>
                    <a:graphicData uri="http://schemas.openxmlformats.org/drawingml/2006/picture">
                      <pic:pic>
                        <pic:nvPicPr>
                          <pic:cNvPr descr="figures/chapter2/peaks/dominant_frequency_dumbbell.pdf" id="123" name="Picture"/>
                          <pic:cNvPicPr>
                            <a:picLocks noChangeArrowheads="1" noChangeAspect="1"/>
                          </pic:cNvPicPr>
                        </pic:nvPicPr>
                        <pic:blipFill>
                          <a:blip r:embed="rId121"/>
                          <a:stretch>
                            <a:fillRect/>
                          </a:stretch>
                        </pic:blipFill>
                        <pic:spPr bwMode="auto">
                          <a:xfrm>
                            <a:off x="0" y="0"/>
                            <a:ext cx="3733800" cy="4189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Dominant peak frequency per region: the centre frequency of the highest-amplitude peak, connecting iEEG (blue) and source HD-EEG (red) for each region. Regions follow the lobe order and colouring of the heatmaps.</w:t>
            </w:r>
          </w:p>
          <w:bookmarkEnd w:id="12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8" w:name="fig-region-ridges"/>
          <w:p>
            <w:pPr>
              <w:pStyle w:val="Compact"/>
              <w:jc w:val="center"/>
            </w:pPr>
            <w:r>
              <w:drawing>
                <wp:inline>
                  <wp:extent cx="5334000" cy="6400800"/>
                  <wp:effectExtent b="0" l="0" r="0" t="0"/>
                  <wp:docPr descr="" title="" id="126" name="Picture"/>
                  <a:graphic>
                    <a:graphicData uri="http://schemas.openxmlformats.org/drawingml/2006/picture">
                      <pic:pic>
                        <pic:nvPicPr>
                          <pic:cNvPr descr="figures/chapter2/peaks/region_frequency_ridges.pdf" id="127" name="Picture"/>
                          <pic:cNvPicPr>
                            <a:picLocks noChangeArrowheads="1" noChangeAspect="1"/>
                          </pic:cNvPicPr>
                        </pic:nvPicPr>
                        <pic:blipFill>
                          <a:blip r:embed="rId125"/>
                          <a:stretch>
                            <a:fillRect/>
                          </a:stretch>
                        </pic:blipFill>
                        <pic:spPr bwMode="auto">
                          <a:xfrm>
                            <a:off x="0" y="0"/>
                            <a:ext cx="5334000" cy="640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Per-region distribution of peak centre frequencies (histogram ridgeline, normalised per region), filled by lobe. HD-EEG (right) is a narrow posterior alpha ridge; iEEG (left) is broader and multimodal.</w:t>
            </w:r>
          </w:p>
          <w:bookmarkEnd w:id="128"/>
        </w:tc>
      </w:tr>
    </w:tbl>
    <w:p>
      <w:pPr>
        <w:pStyle w:val="BodyText"/>
      </w:pPr>
      <w:r>
        <w:t xml:space="preserve">Pooling all regions,</w:t>
      </w:r>
      <w:r>
        <w:t xml:space="preserve"> </w:t>
      </w:r>
      <w:r>
        <w:t xml:space="preserve"> </w:t>
      </w:r>
      <w:r>
        <w:t xml:space="preserve">the joint distribution of peak amplitude and centre frequency (</w:t>
      </w:r>
      <w:hyperlink w:anchor="fig-size-freq">
        <w:r>
          <w:rPr>
            <w:rStyle w:val="Hyperlink"/>
          </w:rPr>
          <w:t xml:space="preserve">Figure 22</w:t>
        </w:r>
      </w:hyperlink>
      <w:r>
        <w:t xml:space="preserve">) makes the contrast immediate: HD-EEG peaks form one dense high-amplitude alpha mode at ~10 Hz with a sparse low-amplitude tail above it, whereas iEEG peaks spread along the frequency axis at moderate amplitude, with a distinct beta/low-gamma body and a high-gamma cluster near 70 Hz.</w:t>
      </w:r>
    </w:p>
    <w:tbl>
      <w:tblPr>
        <w:tblStyle w:val="Table"/>
        <w:tblW w:type="pct" w:w="5000"/>
        <w:tblLayout w:type="fixed"/>
        <w:tblLook w:firstRow="0" w:lastRow="0" w:firstColumn="0" w:lastColumn="0" w:noHBand="0" w:noVBand="0" w:val="0000"/>
      </w:tblPr>
      <w:tblGrid>
        <w:gridCol w:w="7920"/>
      </w:tblGrid>
      <w:tr>
        <w:tc>
          <w:tcPr/>
          <w:bookmarkStart w:id="132" w:name="fig-size-freq"/>
          <w:p>
            <w:pPr>
              <w:pStyle w:val="Compact"/>
              <w:jc w:val="center"/>
            </w:pPr>
            <w:r>
              <w:drawing>
                <wp:inline>
                  <wp:extent cx="5334000" cy="2182090"/>
                  <wp:effectExtent b="0" l="0" r="0" t="0"/>
                  <wp:docPr descr="" title="" id="130" name="Picture"/>
                  <a:graphic>
                    <a:graphicData uri="http://schemas.openxmlformats.org/drawingml/2006/picture">
                      <pic:pic>
                        <pic:nvPicPr>
                          <pic:cNvPr descr="figures/chapter2/peaks/peak_size_vs_frequency.pdf" id="131" name="Picture"/>
                          <pic:cNvPicPr>
                            <a:picLocks noChangeArrowheads="1" noChangeAspect="1"/>
                          </pic:cNvPicPr>
                        </pic:nvPicPr>
                        <pic:blipFill>
                          <a:blip r:embed="rId129"/>
                          <a:stretch>
                            <a:fillRect/>
                          </a:stretch>
                        </pic:blipFill>
                        <pic:spPr bwMode="auto">
                          <a:xfrm>
                            <a:off x="0" y="0"/>
                            <a:ext cx="5334000" cy="218209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Peak size (amplitude) vs centre frequency, binned density per modality (all regions pooled). HD-EEG is a single high-amplitude alpha mode; iEEG is spread across frequency with a high-gamma cluster.</w:t>
            </w:r>
          </w:p>
          <w:bookmarkEnd w:id="132"/>
        </w:tc>
      </w:tr>
    </w:tbl>
    <w:p>
      <w:pPr>
        <w:pStyle w:val="BodyText"/>
      </w:pPr>
      <w:r>
        <w:t xml:space="preserve">Jointly resolving peak amplitude and centre frequency per lobe (</w:t>
      </w:r>
      <w:hyperlink w:anchor="fig-size-freq-lobe">
        <w:r>
          <w:rPr>
            <w:rStyle w:val="Hyperlink"/>
          </w:rPr>
          <w:t xml:space="preserve">Figure 23</w:t>
        </w:r>
      </w:hyperlink>
      <w:r>
        <w:t xml:space="preserve">) confirms that the two descriptors are not redundant. In HD-EEG the per-channel peak density concentrates into a single tall alpha column in occipital and parietal lobes — high amplitude at ~10 Hz — and thins sharply elsewhere. In iEEG the density is spread along the frequency axis at moderate amplitude, with frontal and temporal lobes carrying beta and low-gamma peaks that have no HD-EEG counterpart. Normalising to peaks per channel makes the lobes comparable despite their different channel counts, and shows the cross-modal divergence is one of</w:t>
      </w:r>
      <w:r>
        <w:t xml:space="preserve"> </w:t>
      </w:r>
      <w:r>
        <w:rPr>
          <w:i/>
          <w:iCs/>
        </w:rPr>
        <w:t xml:space="preserve">where in the spectrum</w:t>
      </w:r>
      <w:r>
        <w:t xml:space="preserve"> </w:t>
      </w:r>
      <w:r>
        <w:t xml:space="preserve">rhythms occur, not merely how strong they are.</w:t>
      </w:r>
    </w:p>
    <w:tbl>
      <w:tblPr>
        <w:tblStyle w:val="Table"/>
        <w:tblW w:type="pct" w:w="5000"/>
        <w:tblLayout w:type="fixed"/>
        <w:tblLook w:firstRow="0" w:lastRow="0" w:firstColumn="0" w:lastColumn="0" w:noHBand="0" w:noVBand="0" w:val="0000"/>
      </w:tblPr>
      <w:tblGrid>
        <w:gridCol w:w="7920"/>
      </w:tblGrid>
      <w:tr>
        <w:tc>
          <w:tcPr/>
          <w:bookmarkStart w:id="136" w:name="fig-size-freq-lobe"/>
          <w:p>
            <w:pPr>
              <w:pStyle w:val="Compact"/>
              <w:jc w:val="center"/>
            </w:pPr>
            <w:r>
              <w:drawing>
                <wp:inline>
                  <wp:extent cx="5334000" cy="7112000"/>
                  <wp:effectExtent b="0" l="0" r="0" t="0"/>
                  <wp:docPr descr="" title="" id="134" name="Picture"/>
                  <a:graphic>
                    <a:graphicData uri="http://schemas.openxmlformats.org/drawingml/2006/picture">
                      <pic:pic>
                        <pic:nvPicPr>
                          <pic:cNvPr descr="figures/chapter2/peaks/peak_size_vs_frequency_by_lobe.pdf" id="135" name="Picture"/>
                          <pic:cNvPicPr>
                            <a:picLocks noChangeArrowheads="1" noChangeAspect="1"/>
                          </pic:cNvPicPr>
                        </pic:nvPicPr>
                        <pic:blipFill>
                          <a:blip r:embed="rId133"/>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Peak size (amplitude) vs centre frequency, binned density per lobe (rows) and modality (columns), normalised to peaks per channel so lobes of different size are comparable. HD-EEG concentrates in a posterior alpha column; iEEG spreads across frequency, with frontal/temporal beta-gamma.</w:t>
            </w:r>
          </w:p>
          <w:bookmarkEnd w:id="136"/>
        </w:tc>
      </w:tr>
    </w:tbl>
    <w:bookmarkEnd w:id="137"/>
    <w:bookmarkStart w:id="154" w:name="peaks-prevalence"/>
    <w:p>
      <w:pPr>
        <w:pStyle w:val="Heading3"/>
      </w:pPr>
      <w:r>
        <w:t xml:space="preserve">Peaks prevalence</w:t>
      </w:r>
    </w:p>
    <w:p>
      <w:pPr>
        <w:pStyle w:val="FirstParagraph"/>
      </w:pPr>
      <w:r>
        <w:t xml:space="preserve">Once oscillations are modelled explicitly, peak prevalence — the fraction of a region’s channels carrying at least one fitted peak in a band — diverges sharply between modalities (</w:t>
      </w:r>
      <w:hyperlink w:anchor="fig-peak-prevalence">
        <w:r>
          <w:rPr>
            <w:rStyle w:val="Hyperlink"/>
          </w:rPr>
          <w:t xml:space="preserve">Figure 24</w:t>
        </w:r>
      </w:hyperlink>
      <w:r>
        <w:t xml:space="preserve">). Source HD-EEG is dominated by alpha: mean prevalence across regions is 0.63 in alpha but only 0.11 in theta, 0.05 in gamma and 0.01 in delta. The iEEG atlas is broader, with substantial beta (0.40), gamma (0.26) and alpha (0.24) prevalence. The difference map (HD − iEEG) is strongly positive in alpha — HD detects alpha peaks far more often, especially in posterior regions — and negative across beta and gamma, where iEEG detects high-frequency peaks that the source fit does not recover.</w:t>
      </w:r>
    </w:p>
    <w:p>
      <w:pPr>
        <w:pStyle w:val="BodyText"/>
      </w:pPr>
      <w:r>
        <w:t xml:space="preserve">Cross-modal agreement of the regional prevalence</w:t>
      </w:r>
      <w:r>
        <w:t xml:space="preserve"> </w:t>
      </w:r>
      <w:r>
        <w:rPr>
          <w:i/>
          <w:iCs/>
        </w:rPr>
        <w:t xml:space="preserve">pattern</w:t>
      </w:r>
      <w:r>
        <w:t xml:space="preserve"> </w:t>
      </w:r>
      <w:r>
        <w:t xml:space="preserve">(Spearman across the 38 bilateral regions) is confined to the low and mid bands: alpha</w:t>
      </w:r>
      <w:r>
        <w:t xml:space="preserve"> </w:t>
      </w:r>
      <m:oMath>
        <m:r>
          <m:t>ρ</m:t>
        </m:r>
        <m:r>
          <m:rPr>
            <m:sty m:val="p"/>
          </m:rPr>
          <m:t>=</m:t>
        </m:r>
        <m:r>
          <m:t>0.60</m:t>
        </m:r>
      </m:oMath>
      <w:r>
        <w:t xml:space="preserve"> </w:t>
      </w:r>
      <w:r>
        <w:t xml:space="preserve">and beta</w:t>
      </w:r>
      <w:r>
        <w:t xml:space="preserve"> </w:t>
      </w:r>
      <m:oMath>
        <m:r>
          <m:t>ρ</m:t>
        </m:r>
        <m:r>
          <m:rPr>
            <m:sty m:val="p"/>
          </m:rPr>
          <m:t>=</m:t>
        </m:r>
        <m:r>
          <m:t>0.47</m:t>
        </m:r>
      </m:oMath>
      <w:r>
        <w:t xml:space="preserve">, against delta</w:t>
      </w:r>
      <w:r>
        <w:t xml:space="preserve"> </w:t>
      </w:r>
      <m:oMath>
        <m:r>
          <m:t>ρ</m:t>
        </m:r>
        <m:r>
          <m:rPr>
            <m:sty m:val="p"/>
          </m:rPr>
          <m:t>=</m:t>
        </m:r>
        <m:r>
          <m:t>0.04</m:t>
        </m:r>
      </m:oMath>
      <w:r>
        <w:t xml:space="preserve">, theta</w:t>
      </w:r>
      <w:r>
        <w:t xml:space="preserve"> </w:t>
      </w:r>
      <m:oMath>
        <m:r>
          <m:t>ρ</m:t>
        </m:r>
        <m:r>
          <m:rPr>
            <m:sty m:val="p"/>
          </m:rPr>
          <m:t>=</m:t>
        </m:r>
        <m:r>
          <m:rPr>
            <m:sty m:val="p"/>
          </m:rPr>
          <m:t>−</m:t>
        </m:r>
        <m:r>
          <m:t>0.07</m:t>
        </m:r>
      </m:oMath>
      <w:r>
        <w:t xml:space="preserve"> </w:t>
      </w:r>
      <w:r>
        <w:t xml:space="preserve">and gamma</w:t>
      </w:r>
      <w:r>
        <w:t xml:space="preserve"> </w:t>
      </w:r>
      <m:oMath>
        <m:r>
          <m:t>ρ</m:t>
        </m:r>
        <m:r>
          <m:rPr>
            <m:sty m:val="p"/>
          </m:rPr>
          <m:t>=</m:t>
        </m:r>
        <m:r>
          <m:rPr>
            <m:sty m:val="p"/>
          </m:rPr>
          <m:t>−</m:t>
        </m:r>
        <m:r>
          <m:t>0.25</m:t>
        </m:r>
      </m:oMath>
      <w:r>
        <w:t xml:space="preserve"> </w:t>
      </w:r>
      <w:r>
        <w:t xml:space="preserve">(</w:t>
      </w:r>
      <w:hyperlink w:anchor="fig-prevalence-scatter">
        <w:r>
          <w:rPr>
            <w:rStyle w:val="Hyperlink"/>
          </w:rPr>
          <w:t xml:space="preserve">Figure 26</w:t>
        </w:r>
      </w:hyperlink>
      <w:r>
        <w:t xml:space="preserve">). In alpha the points sit above the identity line — HD detects alpha in more regions than iEEG — yet the two modalities still rank regions consistently. This mirrors the uncorrected relative-band-power result (alpha strongest, gamma anti-correlated), now with the aperiodic background modelled out rather than carried in the power.</w:t>
      </w:r>
    </w:p>
    <w:p>
      <w:pPr>
        <w:pStyle w:val="BodyText"/>
      </w:pPr>
      <w:r>
        <w:t xml:space="preserve">Because modelled power exists only where a peak is fitted, prevalence is also the peak-detection rate and must be read alongside the amplitude and centre-frequency descriptors. Mean peaks per channel were similar across modalities (iEEG 1.45, HD 1.37 under the main settings), but 99.7% of iEEG channels passed the</w:t>
      </w:r>
      <w:r>
        <w:t xml:space="preserve"> </w:t>
      </w:r>
      <m:oMath>
        <m:sSup>
          <m:e>
            <m:r>
              <m:t>R</m:t>
            </m:r>
          </m:e>
          <m:sup>
            <m:r>
              <m:t>2</m:t>
            </m:r>
          </m:sup>
        </m:sSup>
        <m:r>
          <m:rPr>
            <m:sty m:val="p"/>
          </m:rPr>
          <m:t>&gt;</m:t>
        </m:r>
        <m:r>
          <m:t>0.9</m:t>
        </m:r>
      </m:oMath>
      <w:r>
        <w:t xml:space="preserve"> </w:t>
      </w:r>
      <w:r>
        <w:t xml:space="preserve">screen against only 74.0% of HD channels, with the missing HD peaks concentrated in the high-frequency bands where the source spectrum is flattest.</w:t>
      </w:r>
    </w:p>
    <w:tbl>
      <w:tblPr>
        <w:tblStyle w:val="Table"/>
        <w:tblW w:type="pct" w:w="5000"/>
        <w:tblLayout w:type="fixed"/>
        <w:tblLook w:firstRow="0" w:lastRow="0" w:firstColumn="0" w:lastColumn="0" w:noHBand="0" w:noVBand="0" w:val="0000"/>
      </w:tblPr>
      <w:tblGrid>
        <w:gridCol w:w="7920"/>
      </w:tblGrid>
      <w:tr>
        <w:tc>
          <w:tcPr/>
          <w:bookmarkStart w:id="141" w:name="fig-peak-prevalence"/>
          <w:p>
            <w:pPr>
              <w:pStyle w:val="Compact"/>
              <w:jc w:val="center"/>
            </w:pPr>
            <w:r>
              <w:drawing>
                <wp:inline>
                  <wp:extent cx="5334000" cy="5334000"/>
                  <wp:effectExtent b="0" l="0" r="0" t="0"/>
                  <wp:docPr descr="" title="" id="139" name="Picture"/>
                  <a:graphic>
                    <a:graphicData uri="http://schemas.openxmlformats.org/drawingml/2006/picture">
                      <pic:pic>
                        <pic:nvPicPr>
                          <pic:cNvPr descr="figures/chapter2/peaks/peak_prevalence_heatmap.pdf" id="140" name="Picture"/>
                          <pic:cNvPicPr>
                            <a:picLocks noChangeArrowheads="1" noChangeAspect="1"/>
                          </pic:cNvPicPr>
                        </pic:nvPicPr>
                        <pic:blipFill>
                          <a:blip r:embed="rId13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Per-band peak prevalence by region and modality (specparam peaks, BIC-selected aperiodic mode). Regions are grouped by lobe; cell colour is the fraction of a region’s channels with at least one peak in the band.</w:t>
            </w:r>
          </w:p>
          <w:bookmarkEnd w:id="1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5" w:name="fig-prevalence-diff"/>
          <w:p>
            <w:pPr>
              <w:pStyle w:val="Compact"/>
              <w:jc w:val="center"/>
            </w:pPr>
            <w:r>
              <w:drawing>
                <wp:inline>
                  <wp:extent cx="3733800" cy="6028720"/>
                  <wp:effectExtent b="0" l="0" r="0" t="0"/>
                  <wp:docPr descr="" title="" id="143" name="Picture"/>
                  <a:graphic>
                    <a:graphicData uri="http://schemas.openxmlformats.org/drawingml/2006/picture">
                      <pic:pic>
                        <pic:nvPicPr>
                          <pic:cNvPr descr="figures/chapter2/peaks/peak_prevalence_difference_heatmap.pdf" id="144" name="Picture"/>
                          <pic:cNvPicPr>
                            <a:picLocks noChangeArrowheads="1" noChangeAspect="1"/>
                          </pic:cNvPicPr>
                        </pic:nvPicPr>
                        <pic:blipFill>
                          <a:blip r:embed="rId142"/>
                          <a:stretch>
                            <a:fillRect/>
                          </a:stretch>
                        </pic:blipFill>
                        <pic:spPr bwMode="auto">
                          <a:xfrm>
                            <a:off x="0" y="0"/>
                            <a:ext cx="3733800" cy="6028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25: Prevalence difference (source HD-EEG − iEEG atlas). Blue: HD detects the band more often (strong in alpha); red: iEEG more often (beta/gamma).</w:t>
            </w:r>
          </w:p>
          <w:bookmarkEnd w:id="1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9" w:name="fig-prevalence-scatter"/>
          <w:p>
            <w:pPr>
              <w:pStyle w:val="Compact"/>
              <w:jc w:val="center"/>
            </w:pPr>
            <w:r>
              <w:drawing>
                <wp:inline>
                  <wp:extent cx="5334000" cy="1170516"/>
                  <wp:effectExtent b="0" l="0" r="0" t="0"/>
                  <wp:docPr descr="" title="" id="147" name="Picture"/>
                  <a:graphic>
                    <a:graphicData uri="http://schemas.openxmlformats.org/drawingml/2006/picture">
                      <pic:pic>
                        <pic:nvPicPr>
                          <pic:cNvPr descr="figures/chapter2/peaks/peak_prevalence_agreement_scatter.pdf" id="148" name="Picture"/>
                          <pic:cNvPicPr>
                            <a:picLocks noChangeArrowheads="1" noChangeAspect="1"/>
                          </pic:cNvPicPr>
                        </pic:nvPicPr>
                        <pic:blipFill>
                          <a:blip r:embed="rId146"/>
                          <a:stretch>
                            <a:fillRect/>
                          </a:stretch>
                        </pic:blipFill>
                        <pic:spPr bwMode="auto">
                          <a:xfrm>
                            <a:off x="0" y="0"/>
                            <a:ext cx="5334000" cy="1170516"/>
                          </a:xfrm>
                          <a:prstGeom prst="rect">
                            <a:avLst/>
                          </a:prstGeom>
                          <a:noFill/>
                          <a:ln w="9525">
                            <a:noFill/>
                            <a:headEnd/>
                            <a:tailEnd/>
                          </a:ln>
                        </pic:spPr>
                      </pic:pic>
                    </a:graphicData>
                  </a:graphic>
                </wp:inline>
              </w:drawing>
            </w:r>
          </w:p>
          <w:p>
            <w:pPr>
              <w:jc w:val="center"/>
            </w:pPr>
            <w:pPr>
              <w:jc w:val="left"/>
              <w:spacing w:before="200"/>
              <w:pStyle w:val="ImageCaption"/>
            </w:pPr>
            <w:r>
              <w:t xml:space="preserve">Figure 26: Cross-modal agreement of regional peak prevalence, one facet per band. Each point is a bilateral region; dashed line is identity; strip labels give the per-band Spearman</w:t>
            </w:r>
            <w:r>
              <w:t xml:space="preserve"> </w:t>
            </w:r>
            <m:oMath>
              <m:r>
                <m:t>ρ</m:t>
              </m:r>
            </m:oMath>
            <w:r>
              <w:t xml:space="preserve"> </w:t>
            </w:r>
            <w:r>
              <w:t xml:space="preserve">across regions.</w:t>
            </w:r>
          </w:p>
          <w:bookmarkEnd w:id="149"/>
        </w:tc>
      </w:tr>
    </w:tbl>
    <w:p>
      <w:pPr>
        <w:pStyle w:val="BodyText"/>
      </w:pPr>
      <w:r>
        <w:rPr>
          <w:b/>
          <w:bCs/>
        </w:rPr>
        <w:t xml:space="preserve">Modelled power.</w:t>
      </w:r>
      <w:r>
        <w:t xml:space="preserve"> </w:t>
      </w:r>
      <w:r>
        <w:t xml:space="preserve"> </w:t>
      </w:r>
      <w:r>
        <w:t xml:space="preserve">The amplitude of the highest peak per band (median across the channels that carry a peak) tells the same story in amplitude that prevalence tells in detection: posterior alpha carries the largest modelled power in HD-EEG, while in iEEG the amplitude is spread across beta in frontal and central regions (</w:t>
      </w:r>
      <w:hyperlink w:anchor="fig-modelled-power">
        <w:r>
          <w:rPr>
            <w:rStyle w:val="Hyperlink"/>
          </w:rPr>
          <w:t xml:space="preserve">Figure 27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3" w:name="fig-modelled-power"/>
          <w:p>
            <w:pPr>
              <w:pStyle w:val="Compact"/>
              <w:jc w:val="center"/>
            </w:pPr>
            <w:r>
              <w:drawing>
                <wp:inline>
                  <wp:extent cx="5334000" cy="5334000"/>
                  <wp:effectExtent b="0" l="0" r="0" t="0"/>
                  <wp:docPr descr="" title="" id="151" name="Picture"/>
                  <a:graphic>
                    <a:graphicData uri="http://schemas.openxmlformats.org/drawingml/2006/picture">
                      <pic:pic>
                        <pic:nvPicPr>
                          <pic:cNvPr descr="figures/chapter2/peaks/modelled_power_heatmap.pdf" id="152" name="Picture"/>
                          <pic:cNvPicPr>
                            <a:picLocks noChangeArrowheads="1" noChangeAspect="1"/>
                          </pic:cNvPicPr>
                        </pic:nvPicPr>
                        <pic:blipFill>
                          <a:blip r:embed="rId15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27: Modelled band power by region and modality: median amplitude (log-power height above the aperiodic component) of the highest peak in each band, over channels with a detected peak.</w:t>
            </w:r>
          </w:p>
          <w:bookmarkEnd w:id="153"/>
        </w:tc>
      </w:tr>
    </w:tbl>
    <w:bookmarkEnd w:id="154"/>
    <w:bookmarkEnd w:id="155"/>
    <w:bookmarkStart w:id="180" w:name="auxiliary-sensitivity-analyses"/>
    <w:p>
      <w:pPr>
        <w:pStyle w:val="Heading2"/>
      </w:pPr>
      <w:r>
        <w:t xml:space="preserve">Auxiliary sensitivity analyses</w:t>
      </w:r>
    </w:p>
    <w:p>
      <w:pPr>
        <w:pStyle w:val="FirstParagraph"/>
      </w:pPr>
      <w:r>
        <w:t xml:space="preserve">Finally, we ask how far the aperiodic estimates themselves depend on the modelling choices made to obtain them.</w:t>
      </w:r>
    </w:p>
    <w:bookmarkStart w:id="160" w:name="knee-vs-fixed-1"/>
    <w:p>
      <w:pPr>
        <w:pStyle w:val="Heading3"/>
      </w:pPr>
      <w:r>
        <w:t xml:space="preserve">Knee vs fixed</w:t>
      </w:r>
    </w:p>
    <w:p>
      <w:pPr>
        <w:pStyle w:val="FirstParagraph"/>
      </w:pPr>
      <w:r>
        <w:t xml:space="preserve">The two aperiodic modes return very different exponents in the iEEG atlas and nearly identical ones in source HD-EEG, as the model-selection result predicts —</w:t>
      </w:r>
      <w:r>
        <w:t xml:space="preserve"> </w:t>
      </w:r>
      <w:r>
        <w:t xml:space="preserve">but in iEEG the difference is partly one of definition, not only of value. The fixed</w:t>
      </w:r>
      <w:r>
        <w:t xml:space="preserve"> </w:t>
      </w:r>
      <m:oMath>
        <m:r>
          <m:t>χ</m:t>
        </m:r>
      </m:oMath>
      <w:r>
        <w:t xml:space="preserve"> </w:t>
      </w:r>
      <w:r>
        <w:t xml:space="preserve">is a single slope fit across the whole band, dragged shallow by the</w:t>
      </w:r>
      <w:r>
        <w:t xml:space="preserve"> </w:t>
      </w:r>
      <w:r>
        <w:t xml:space="preserve">low-frequency plateau; the knee</w:t>
      </w:r>
      <w:r>
        <w:t xml:space="preserve"> </w:t>
      </w:r>
      <m:oMath>
        <m:r>
          <m:t>χ</m:t>
        </m:r>
      </m:oMath>
      <w:r>
        <w:t xml:space="preserve"> </w:t>
      </w:r>
      <w:r>
        <w:t xml:space="preserve">is the asymptotic high-frequency slope above the corner</w:t>
      </w:r>
      <w:r>
        <w:t xml:space="preserve"> </w:t>
      </w:r>
      <m:oMath>
        <m:sSub>
          <m:e>
            <m:r>
              <m:t>f</m:t>
            </m:r>
          </m:e>
          <m:sub>
            <m:r>
              <m:t>k</m:t>
            </m:r>
          </m:sub>
        </m:sSub>
        <m:r>
          <m:rPr>
            <m:sty m:val="p"/>
          </m:rPr>
          <m:t>=</m:t>
        </m:r>
        <m:sSup>
          <m:e>
            <m:r>
              <m:t>k</m:t>
            </m:r>
          </m:e>
          <m:sup>
            <m:r>
              <m:t>1</m:t>
            </m:r>
            <m:r>
              <m:rPr>
                <m:sty m:val="p"/>
              </m:rPr>
              <m:t>/</m:t>
            </m:r>
            <m:r>
              <m:t>χ</m:t>
            </m:r>
          </m:sup>
        </m:sSup>
      </m:oMath>
      <w:r>
        <w:t xml:space="preserve">, so it is effectively measured over a channel-specific window above the knee. The two are different estimands, which is why the knee exponent (median</w:t>
      </w:r>
      <w:r>
        <w:t xml:space="preserve"> </w:t>
      </w:r>
      <m:oMath>
        <m:r>
          <m:t>χ</m:t>
        </m:r>
        <m:r>
          <m:rPr>
            <m:sty m:val="p"/>
          </m:rPr>
          <m:t>=</m:t>
        </m:r>
        <m:r>
          <m:t>3.30</m:t>
        </m:r>
      </m:oMath>
      <w:r>
        <w:t xml:space="preserve">) is far steeper than the fixed</w:t>
      </w:r>
      <w:r>
        <w:t xml:space="preserve"> </w:t>
      </w:r>
      <w:r>
        <w:t xml:space="preserve">one (median</w:t>
      </w:r>
      <w:r>
        <w:t xml:space="preserve"> </w:t>
      </w:r>
      <m:oMath>
        <m:r>
          <m:t>χ</m:t>
        </m:r>
        <m:r>
          <m:rPr>
            <m:sty m:val="p"/>
          </m:rPr>
          <m:t>=</m:t>
        </m:r>
        <m:r>
          <m:t>1.94</m:t>
        </m:r>
      </m:oMath>
      <w:r>
        <w:t xml:space="preserve">). Because they are different parameters, their across-channel correlation (Pearson</w:t>
      </w:r>
      <w:r>
        <w:t xml:space="preserve"> </w:t>
      </w:r>
      <m:oMath>
        <m:r>
          <m:t>r</m:t>
        </m:r>
        <m:r>
          <m:rPr>
            <m:sty m:val="p"/>
          </m:rPr>
          <m:t>=</m:t>
        </m:r>
        <m:r>
          <m:t>0.49</m:t>
        </m:r>
      </m:oMath>
      <w:r>
        <w:t xml:space="preserve">, Spearman</w:t>
      </w:r>
      <w:r>
        <w:t xml:space="preserve"> </w:t>
      </w:r>
      <m:oMath>
        <m:r>
          <m:t>ρ</m:t>
        </m:r>
        <m:r>
          <m:rPr>
            <m:sty m:val="p"/>
          </m:rPr>
          <m:t>=</m:t>
        </m:r>
        <m:r>
          <m:t>0.45</m:t>
        </m:r>
      </m:oMath>
      <w:r>
        <w:t xml:space="preserve">) measures</w:t>
      </w:r>
      <w:r>
        <w:t xml:space="preserve"> </w:t>
      </w:r>
      <w:r>
        <w:t xml:space="preserve">how the two co-vary, not agreement on a common quantity; its moderate value reflects that the fixed estimate is not a simple rescaling of the knee estimate, since the bias from fitting one line through the knee varies channel to channel</w:t>
      </w:r>
      <w:r>
        <w:t xml:space="preserve"> </w:t>
      </w:r>
      <w:r>
        <w:t xml:space="preserve">with</w:t>
      </w:r>
      <w:r>
        <w:t xml:space="preserve"> </w:t>
      </w:r>
      <m:oMath>
        <m:sSub>
          <m:e>
            <m:r>
              <m:t>f</m:t>
            </m:r>
          </m:e>
          <m:sub>
            <m:r>
              <m:t>k</m:t>
            </m:r>
          </m:sub>
        </m:sSub>
      </m:oMath>
      <w:r>
        <w:t xml:space="preserve">. Colouring each channel by its fitted knee frequency (</w:t>
      </w:r>
      <w:hyperlink w:anchor="fig-knee-vs-fixed">
        <w:r>
          <w:rPr>
            <w:rStyle w:val="Hyperlink"/>
          </w:rPr>
          <w:t xml:space="preserve">Figure 28</w:t>
        </w:r>
      </w:hyperlink>
      <w:r>
        <w:t xml:space="preserve">) shows the gap widening where the knee sits higher, consistent with the fixed exponent partly absorbing the knee</w:t>
      </w:r>
      <w:r>
        <w:t xml:space="preserve"> </w:t>
      </w:r>
      <w:r>
        <w:t xml:space="preserve">(Ameen et al. 2025)</w:t>
      </w:r>
      <w:r>
        <w:t xml:space="preserve">. In</w:t>
      </w:r>
      <w:r>
        <w:t xml:space="preserve"> </w:t>
      </w:r>
      <w:r>
        <w:t xml:space="preserve">HD-EEG the knee is essentially absent, so</w:t>
      </w:r>
      <w:r>
        <w:t xml:space="preserve"> </w:t>
      </w:r>
      <m:oMath>
        <m:r>
          <m:t>χ</m:t>
        </m:r>
      </m:oMath>
      <w:r>
        <w:t xml:space="preserve"> </w:t>
      </w:r>
      <w:r>
        <w:t xml:space="preserve">describes the whole band in both modes; the two definitions converge, the exponents coincide (median 0.94 vs 0.93), and they track closely across channels (</w:t>
      </w:r>
      <m:oMath>
        <m:r>
          <m:t>r</m:t>
        </m:r>
        <m:r>
          <m:rPr>
            <m:sty m:val="p"/>
          </m:rPr>
          <m:t>=</m:t>
        </m:r>
        <m:r>
          <m:t>0.88</m:t>
        </m:r>
      </m:oMath>
      <w:r>
        <w:t xml:space="preserve">,</w:t>
      </w:r>
      <w:r>
        <w:t xml:space="preserve"> </w:t>
      </w:r>
      <m:oMath>
        <m:r>
          <m:t>ρ</m:t>
        </m:r>
        <m:r>
          <m:rPr>
            <m:sty m:val="p"/>
          </m:rPr>
          <m:t>=</m:t>
        </m:r>
        <m:r>
          <m:t>0.92</m:t>
        </m:r>
      </m:oMath>
      <w:r>
        <w:t xml:space="preserve">).</w:t>
      </w:r>
      <w:r>
        <w:t xml:space="preserve"> </w:t>
      </w:r>
    </w:p>
    <w:tbl>
      <w:tblPr>
        <w:tblStyle w:val="Table"/>
        <w:tblW w:type="pct" w:w="5000"/>
        <w:tblLayout w:type="fixed"/>
        <w:tblLook w:firstRow="0" w:lastRow="0" w:firstColumn="0" w:lastColumn="0" w:noHBand="0" w:noVBand="0" w:val="0000"/>
      </w:tblPr>
      <w:tblGrid>
        <w:gridCol w:w="7920"/>
      </w:tblGrid>
      <w:tr>
        <w:tc>
          <w:tcPr/>
          <w:bookmarkStart w:id="159" w:name="fig-knee-vs-fixed"/>
          <w:p>
            <w:pPr>
              <w:pStyle w:val="Compact"/>
              <w:jc w:val="center"/>
            </w:pPr>
            <w:r>
              <w:drawing>
                <wp:inline>
                  <wp:extent cx="5334000" cy="2487965"/>
                  <wp:effectExtent b="0" l="0" r="0" t="0"/>
                  <wp:docPr descr="" title="" id="157" name="Picture"/>
                  <a:graphic>
                    <a:graphicData uri="http://schemas.openxmlformats.org/drawingml/2006/picture">
                      <pic:pic>
                        <pic:nvPicPr>
                          <pic:cNvPr descr="figures/chapter2/h3_knee_vs_fixed_exponent.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5334000" cy="2487965"/>
                          </a:xfrm>
                          <a:prstGeom prst="rect">
                            <a:avLst/>
                          </a:prstGeom>
                          <a:noFill/>
                          <a:ln w="9525">
                            <a:noFill/>
                            <a:headEnd/>
                            <a:tailEnd/>
                          </a:ln>
                        </pic:spPr>
                      </pic:pic>
                    </a:graphicData>
                  </a:graphic>
                </wp:inline>
              </w:drawing>
            </w:r>
          </w:p>
          <w:p>
            <w:pPr>
              <w:jc w:val="center"/>
            </w:pPr>
            <w:pPr>
              <w:jc w:val="left"/>
              <w:spacing w:before="200"/>
              <w:pStyle w:val="ImageCaption"/>
            </w:pPr>
            <w:r>
              <w:t xml:space="preserve">Figure 28: Knee- vs fixed-model aperiodic exponent per channel, one panel per modality (dashed line = identity). Points coloured by the fitted knee frequency. iEEG exponents diverge between modes; HD-EEG exponents coincide.</w:t>
            </w:r>
          </w:p>
          <w:bookmarkEnd w:id="159"/>
        </w:tc>
      </w:tr>
    </w:tbl>
    <w:bookmarkEnd w:id="160"/>
    <w:bookmarkStart w:id="173" w:name="fitting-range-1"/>
    <w:p>
      <w:pPr>
        <w:pStyle w:val="Heading3"/>
      </w:pPr>
      <w:r>
        <w:t xml:space="preserve">Fitting range</w:t>
      </w:r>
    </w:p>
    <w:p>
      <w:pPr>
        <w:pStyle w:val="FirstParagraph"/>
      </w:pPr>
      <w:r>
        <w:t xml:space="preserve">The upper edge of the fit window matters mainly for iEEG. Narrowing the fixed-mode range from 1-80 Hz to 1-45 Hz lowered the iEEG exponent by a mean</w:t>
      </w:r>
      <w:r>
        <w:t xml:space="preserve"> </w:t>
      </w:r>
      <m:oMath>
        <m:r>
          <m:rPr>
            <m:sty m:val="p"/>
          </m:rPr>
          <m:t>Δ</m:t>
        </m:r>
        <m:r>
          <m:t>χ</m:t>
        </m:r>
        <m:r>
          <m:rPr>
            <m:sty m:val="p"/>
          </m:rPr>
          <m:t>=</m:t>
        </m:r>
        <m:r>
          <m:rPr>
            <m:sty m:val="p"/>
          </m:rPr>
          <m:t>+</m:t>
        </m:r>
        <m:r>
          <m:t>0.47</m:t>
        </m:r>
      </m:oMath>
      <w:r>
        <w:t xml:space="preserve"> </w:t>
      </w:r>
      <w:r>
        <w:t xml:space="preserve">(median 1.94 → 1.50), a large and consistent shift: the two estimates correlate well in rank (</w:t>
      </w:r>
      <m:oMath>
        <m:r>
          <m:t>r</m:t>
        </m:r>
        <m:r>
          <m:rPr>
            <m:sty m:val="p"/>
          </m:rPr>
          <m:t>=</m:t>
        </m:r>
        <m:r>
          <m:t>0.77</m:t>
        </m:r>
      </m:oMath>
      <w:r>
        <w:t xml:space="preserve">,</w:t>
      </w:r>
      <w:r>
        <w:t xml:space="preserve"> </w:t>
      </w:r>
      <m:oMath>
        <m:r>
          <m:t>ρ</m:t>
        </m:r>
        <m:r>
          <m:rPr>
            <m:sty m:val="p"/>
          </m:rPr>
          <m:t>=</m:t>
        </m:r>
        <m:r>
          <m:t>0.76</m:t>
        </m:r>
      </m:oMath>
      <w:r>
        <w:t xml:space="preserve">) but sit off the identity line, and the Bland-Altman plot</w:t>
      </w:r>
      <w:r>
        <w:t xml:space="preserve"> </w:t>
      </w:r>
      <w:r>
        <w:t xml:space="preserve">(Bland and Altman 1986)</w:t>
      </w:r>
      <w:r>
        <w:t xml:space="preserve"> </w:t>
      </w:r>
      <w:r>
        <w:t xml:space="preserve">(</w:t>
      </w:r>
      <w:hyperlink w:anchor="fig-range-ba">
        <w:r>
          <w:rPr>
            <w:rStyle w:val="Hyperlink"/>
          </w:rPr>
          <w:t xml:space="preserve">Figure 30</w:t>
        </w:r>
      </w:hyperlink>
      <w:r>
        <w:t xml:space="preserve">) shows the difference is an approximately constant positive offset rather than noise — the steeper high-frequency portion of the iEEG spectrum pulls the 1-80 Hz exponent up. In HD-EEG the range had essentially no effect (</w:t>
      </w:r>
      <m:oMath>
        <m:r>
          <m:rPr>
            <m:sty m:val="p"/>
          </m:rPr>
          <m:t>Δ</m:t>
        </m:r>
        <m:r>
          <m:t>χ</m:t>
        </m:r>
        <m:r>
          <m:rPr>
            <m:sty m:val="p"/>
          </m:rPr>
          <m:t>=</m:t>
        </m:r>
        <m:r>
          <m:rPr>
            <m:sty m:val="p"/>
          </m:rPr>
          <m:t>−</m:t>
        </m:r>
        <m:r>
          <m:t>0.04</m:t>
        </m:r>
      </m:oMath>
      <w:r>
        <w:t xml:space="preserve">;</w:t>
      </w:r>
      <w:r>
        <w:t xml:space="preserve"> </w:t>
      </w:r>
      <m:oMath>
        <m:r>
          <m:t>r</m:t>
        </m:r>
        <m:r>
          <m:rPr>
            <m:sty m:val="p"/>
          </m:rPr>
          <m:t>=</m:t>
        </m:r>
        <m:r>
          <m:t>0.91</m:t>
        </m:r>
      </m:oMath>
      <w:r>
        <w:t xml:space="preserve">,</w:t>
      </w:r>
      <w:r>
        <w:t xml:space="preserve"> </w:t>
      </w:r>
      <m:oMath>
        <m:r>
          <m:t>ρ</m:t>
        </m:r>
        <m:r>
          <m:rPr>
            <m:sty m:val="p"/>
          </m:rPr>
          <m:t>=</m:t>
        </m:r>
        <m:r>
          <m:t>0.93</m:t>
        </m:r>
      </m:oMath>
      <w:r>
        <w:t xml:space="preserve">), because the source spectrum is already close to a single power law over the whole band. The per-region map of</w:t>
      </w:r>
      <w:r>
        <w:t xml:space="preserve"> </w:t>
      </w:r>
      <m:oMath>
        <m:r>
          <m:rPr>
            <m:sty m:val="p"/>
          </m:rPr>
          <m:t>Δ</m:t>
        </m:r>
        <m:r>
          <m:t>χ</m:t>
        </m:r>
      </m:oMath>
      <w:r>
        <w:t xml:space="preserve"> </w:t>
      </w:r>
      <w:r>
        <w:t xml:space="preserve">(</w:t>
      </w:r>
      <w:hyperlink w:anchor="fig-range-region">
        <w:r>
          <w:rPr>
            <w:rStyle w:val="Hyperlink"/>
          </w:rPr>
          <w:t xml:space="preserve">Figure 31</w:t>
        </w:r>
      </w:hyperlink>
      <w:r>
        <w:t xml:space="preserve">) shows the iEEG shift is broadly distributed rather than confined to one lobe. Cross-modal exponent comparisons must therefore hold the fit range fixed, and are only meaningful below ~45 Hz where the two modalities behave comparably.</w:t>
      </w:r>
    </w:p>
    <w:tbl>
      <w:tblPr>
        <w:tblStyle w:val="Table"/>
        <w:tblW w:type="pct" w:w="5000"/>
        <w:tblLayout w:type="fixed"/>
        <w:tblLook w:firstRow="0" w:lastRow="0" w:firstColumn="0" w:lastColumn="0" w:noHBand="0" w:noVBand="0" w:val="0000"/>
      </w:tblPr>
      <w:tblGrid>
        <w:gridCol w:w="7920"/>
      </w:tblGrid>
      <w:tr>
        <w:tc>
          <w:tcPr/>
          <w:bookmarkStart w:id="164" w:name="fig-range-scatter"/>
          <w:p>
            <w:pPr>
              <w:pStyle w:val="Compact"/>
              <w:jc w:val="center"/>
            </w:pPr>
            <w:r>
              <w:drawing>
                <wp:inline>
                  <wp:extent cx="5334000" cy="2487965"/>
                  <wp:effectExtent b="0" l="0" r="0" t="0"/>
                  <wp:docPr descr="" title="" id="162" name="Picture"/>
                  <a:graphic>
                    <a:graphicData uri="http://schemas.openxmlformats.org/drawingml/2006/picture">
                      <pic:pic>
                        <pic:nvPicPr>
                          <pic:cNvPr descr="figures/chapter2/h3_fitting_range_scatter.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5334000" cy="2487965"/>
                          </a:xfrm>
                          <a:prstGeom prst="rect">
                            <a:avLst/>
                          </a:prstGeom>
                          <a:noFill/>
                          <a:ln w="9525">
                            <a:noFill/>
                            <a:headEnd/>
                            <a:tailEnd/>
                          </a:ln>
                        </pic:spPr>
                      </pic:pic>
                    </a:graphicData>
                  </a:graphic>
                </wp:inline>
              </w:drawing>
            </w:r>
          </w:p>
          <w:p>
            <w:pPr>
              <w:jc w:val="center"/>
            </w:pPr>
            <w:pPr>
              <w:jc w:val="left"/>
              <w:spacing w:before="200"/>
              <w:pStyle w:val="ImageCaption"/>
            </w:pPr>
            <w:r>
              <w:t xml:space="preserve">Figure 29: Fitting-range agreement of the fixed exponent: χ over 1-45 Hz vs 1-80 Hz, per modality (dashed = identity).</w:t>
            </w:r>
          </w:p>
          <w:bookmarkEnd w:id="16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8" w:name="fig-range-ba"/>
          <w:p>
            <w:pPr>
              <w:pStyle w:val="Compact"/>
              <w:jc w:val="center"/>
            </w:pPr>
            <w:r>
              <w:drawing>
                <wp:inline>
                  <wp:extent cx="5334000" cy="2487965"/>
                  <wp:effectExtent b="0" l="0" r="0" t="0"/>
                  <wp:docPr descr="" title="" id="166" name="Picture"/>
                  <a:graphic>
                    <a:graphicData uri="http://schemas.openxmlformats.org/drawingml/2006/picture">
                      <pic:pic>
                        <pic:nvPicPr>
                          <pic:cNvPr descr="figures/chapter2/h3_fitting_range_bland_altm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5334000" cy="2487965"/>
                          </a:xfrm>
                          <a:prstGeom prst="rect">
                            <a:avLst/>
                          </a:prstGeom>
                          <a:noFill/>
                          <a:ln w="9525">
                            <a:noFill/>
                            <a:headEnd/>
                            <a:tailEnd/>
                          </a:ln>
                        </pic:spPr>
                      </pic:pic>
                    </a:graphicData>
                  </a:graphic>
                </wp:inline>
              </w:drawing>
            </w:r>
          </w:p>
          <w:p>
            <w:pPr>
              <w:jc w:val="center"/>
            </w:pPr>
            <w:pPr>
              <w:jc w:val="left"/>
              <w:spacing w:before="200"/>
              <w:pStyle w:val="ImageCaption"/>
            </w:pPr>
            <w:r>
              <w:t xml:space="preserve">Figure 30: Bland-Altman of the range effect: mean exponent vs</w:t>
            </w:r>
            <w:r>
              <w:t xml:space="preserve"> </w:t>
            </w:r>
            <m:oMath>
              <m:r>
                <m:rPr>
                  <m:sty m:val="p"/>
                </m:rPr>
                <m:t>Δ</m:t>
              </m:r>
              <m:r>
                <m:t>χ</m:t>
              </m:r>
              <m:r>
                <m:rPr>
                  <m:sty m:val="p"/>
                </m:rPr>
                <m:t>=</m:t>
              </m:r>
              <m:sSub>
                <m:e>
                  <m:r>
                    <m:t>χ</m:t>
                  </m:r>
                </m:e>
                <m:sub>
                  <m:r>
                    <m:t>1</m:t>
                  </m:r>
                  <m:r>
                    <m:rPr>
                      <m:nor/>
                      <m:sty m:val="p"/>
                    </m:rPr>
                    <m:t>-</m:t>
                  </m:r>
                  <m:r>
                    <m:t>80</m:t>
                  </m:r>
                </m:sub>
              </m:sSub>
              <m:r>
                <m:rPr>
                  <m:sty m:val="p"/>
                </m:rPr>
                <m:t>−</m:t>
              </m:r>
              <m:sSub>
                <m:e>
                  <m:r>
                    <m:t>χ</m:t>
                  </m:r>
                </m:e>
                <m:sub>
                  <m:r>
                    <m:t>1</m:t>
                  </m:r>
                  <m:r>
                    <m:rPr>
                      <m:nor/>
                      <m:sty m:val="p"/>
                    </m:rPr>
                    <m:t>-</m:t>
                  </m:r>
                  <m:r>
                    <m:t>45</m:t>
                  </m:r>
                </m:sub>
              </m:sSub>
            </m:oMath>
            <w:r>
              <w:t xml:space="preserve">. The iEEG shift is a near-constant positive offset; HD-EEG is centred on zero.</w:t>
            </w:r>
          </w:p>
          <w:bookmarkEnd w:id="16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2" w:name="fig-range-region"/>
          <w:p>
            <w:pPr>
              <w:pStyle w:val="Compact"/>
              <w:jc w:val="center"/>
            </w:pPr>
            <w:r>
              <w:drawing>
                <wp:inline>
                  <wp:extent cx="2400300" cy="4320540"/>
                  <wp:effectExtent b="0" l="0" r="0" t="0"/>
                  <wp:docPr descr="" title="" id="170" name="Picture"/>
                  <a:graphic>
                    <a:graphicData uri="http://schemas.openxmlformats.org/drawingml/2006/picture">
                      <pic:pic>
                        <pic:nvPicPr>
                          <pic:cNvPr descr="figures/chapter2/h3_fitting_range_region_delta.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2400300" cy="432054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Per-region mean range shift</w:t>
            </w:r>
            <w:r>
              <w:t xml:space="preserve"> </w:t>
            </w:r>
            <m:oMath>
              <m:r>
                <m:rPr>
                  <m:sty m:val="p"/>
                </m:rPr>
                <m:t>Δ</m:t>
              </m:r>
              <m:r>
                <m:t>χ</m:t>
              </m:r>
            </m:oMath>
            <w:r>
              <w:t xml:space="preserve">. The iEEG offset is broadly distributed across regions; HD-EEG is near zero everywhere.</w:t>
            </w:r>
          </w:p>
          <w:bookmarkEnd w:id="172"/>
        </w:tc>
      </w:tr>
    </w:tbl>
    <w:bookmarkEnd w:id="173"/>
    <w:bookmarkStart w:id="178" w:name="irasa-vs-specparam-1"/>
    <w:p>
      <w:pPr>
        <w:pStyle w:val="Heading3"/>
      </w:pPr>
      <w:r>
        <w:t xml:space="preserve">IRASA vs specparam</w:t>
      </w:r>
    </w:p>
    <w:p>
      <w:pPr>
        <w:pStyle w:val="FirstParagraph"/>
      </w:pPr>
      <w:r>
        <w:t xml:space="preserve">As a cross-method check in HD-EEG, the specparam fixed-mode exponent (refit over 2-40 Hz) and the IRASA fractal exponent over the same band agree almost perfectly across channels (Pearson</w:t>
      </w:r>
      <w:r>
        <w:t xml:space="preserve"> </w:t>
      </w:r>
      <m:oMath>
        <m:r>
          <m:t>r</m:t>
        </m:r>
        <m:r>
          <m:rPr>
            <m:sty m:val="p"/>
          </m:rPr>
          <m:t>=</m:t>
        </m:r>
        <m:r>
          <m:t>0.97</m:t>
        </m:r>
      </m:oMath>
      <w:r>
        <w:t xml:space="preserve">, Spearman</w:t>
      </w:r>
      <w:r>
        <w:t xml:space="preserve"> </w:t>
      </w:r>
      <m:oMath>
        <m:r>
          <m:t>ρ</m:t>
        </m:r>
        <m:r>
          <m:rPr>
            <m:sty m:val="p"/>
          </m:rPr>
          <m:t>=</m:t>
        </m:r>
        <m:r>
          <m:t>0.96</m:t>
        </m:r>
      </m:oMath>
      <w:r>
        <w:t xml:space="preserve">; median 1.00 vs 1.06), with specparam marginally shallower (</w:t>
      </w:r>
      <w:hyperlink w:anchor="fig-irasa">
        <w:r>
          <w:rPr>
            <w:rStyle w:val="Hyperlink"/>
          </w:rPr>
          <w:t xml:space="preserve">Figure 32</w:t>
        </w:r>
      </w:hyperlink>
      <w:r>
        <w:t xml:space="preserve">). The recovered aperiodic slope is thus essentially method-independent in the source data:</w:t>
      </w:r>
      <w:r>
        <w:t xml:space="preserve"> </w:t>
      </w:r>
      <w:r>
        <w:t xml:space="preserve"> </w:t>
      </w:r>
      <w:r>
        <w:t xml:space="preserve">the cross-modal and range effects above are properties of the spectra, not artefacts of the specparam parameterisation.</w:t>
      </w:r>
    </w:p>
    <w:tbl>
      <w:tblPr>
        <w:tblStyle w:val="Table"/>
        <w:tblW w:type="pct" w:w="5000"/>
        <w:tblLayout w:type="fixed"/>
        <w:tblLook w:firstRow="0" w:lastRow="0" w:firstColumn="0" w:lastColumn="0" w:noHBand="0" w:noVBand="0" w:val="0000"/>
      </w:tblPr>
      <w:tblGrid>
        <w:gridCol w:w="7920"/>
      </w:tblGrid>
      <w:tr>
        <w:tc>
          <w:tcPr/>
          <w:bookmarkStart w:id="177" w:name="fig-irasa"/>
          <w:p>
            <w:pPr>
              <w:pStyle w:val="Compact"/>
              <w:jc w:val="center"/>
            </w:pPr>
            <w:r>
              <w:drawing>
                <wp:inline>
                  <wp:extent cx="3200400" cy="3200400"/>
                  <wp:effectExtent b="0" l="0" r="0" t="0"/>
                  <wp:docPr descr="" title="" id="175" name="Picture"/>
                  <a:graphic>
                    <a:graphicData uri="http://schemas.openxmlformats.org/drawingml/2006/picture">
                      <pic:pic>
                        <pic:nvPicPr>
                          <pic:cNvPr descr="figures/chapter2/hd_exponent_specparam_vs_irasa.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2004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HD-EEG aperiodic exponent from specparam (fixed, 2-40 Hz) vs IRASA (2-40 Hz), one point per channel; dashed line is identity.</w:t>
            </w:r>
          </w:p>
          <w:bookmarkEnd w:id="177"/>
        </w:tc>
      </w:tr>
    </w:tbl>
    <w:bookmarkEnd w:id="178"/>
    <w:bookmarkStart w:id="179" w:name="summary"/>
    <w:p>
      <w:pPr>
        <w:pStyle w:val="Heading3"/>
      </w:pPr>
      <w:r>
        <w:t xml:space="preserve">Summary</w:t>
      </w:r>
    </w:p>
    <w:bookmarkEnd w:id="179"/>
    <w:bookmarkEnd w:id="180"/>
    <w:bookmarkEnd w:id="181"/>
    <w:bookmarkStart w:id="188" w:name="discussion"/>
    <w:p>
      <w:pPr>
        <w:pStyle w:val="Heading1"/>
      </w:pPr>
      <w:r>
        <w:t xml:space="preserve">Discussion</w:t>
      </w:r>
    </w:p>
    <w:bookmarkStart w:id="182" w:name="X709b3b81741698ed4b28c430f825ba22be03daa"/>
    <w:p>
      <w:pPr>
        <w:pStyle w:val="Heading2"/>
      </w:pPr>
      <w:r>
        <w:t xml:space="preserve">Clustering can retrive some spectral structure but is unstable</w:t>
      </w:r>
    </w:p>
    <w:p>
      <w:pPr>
        <w:pStyle w:val="FirstParagraph"/>
      </w:pPr>
      <w:r>
        <w:t xml:space="preserve">The clustering descriptor was itself unstable, and that instability is part of the finding. The k-means solution, the no-peak reference set, and the data-driven interval definition all shifted with reasonable changes to preprocessing and fitting range, and the 4% power rule of the original atlas did not transfer to the source-reconstructed spectra: applied to HD-EEG it over-segmented the high-frequency tail. This over-segmentation follows from the unit-power normalisation rather than from physiological structure: normalising each spectrum to unit total power redistributes mass toward the flat, high-frequency tail of the source data, which the cumulative 4% rule then carves into spurious narrow intervals. Because the clustering descriptor was not robust to these choices, we did not carry it forward to the aperiodic-corrected spectra, and characterised oscillatory content with the more stable per-band parametrised-peak descriptor, which needs neither a clustering step nor a no-peak reference. The instability is not noise around a true answer; it is a reason to prefer one operationalisation over another.</w:t>
      </w:r>
    </w:p>
    <w:p>
      <w:pPr>
        <w:pStyle w:val="BodyText"/>
      </w:pPr>
      <w:r>
        <w:t xml:space="preserve">The clustering comparison also bears on the reference itself. Removing the 0.5-80 Hz bandpass collapsed the gamma cluster and the low/high-beta split that the filtered solution reproduced, which suggests that these distinctions in the published atlas may be driven, at least in part, by filter edge effects rather than by physiological structure. Because the comparison was run on our own pipeline, it is suggestive rather than a demonstration that the atlas is artefactual.</w:t>
      </w:r>
    </w:p>
    <w:bookmarkEnd w:id="182"/>
    <w:bookmarkStart w:id="183" w:name="Xcabb864b859c5422c0d6c98138cfccb99eab644"/>
    <w:p>
      <w:pPr>
        <w:pStyle w:val="Heading2"/>
      </w:pPr>
      <w:r>
        <w:t xml:space="preserve">Removal of spectral backround mitigate some issues of relative power</w:t>
      </w:r>
    </w:p>
    <w:bookmarkEnd w:id="183"/>
    <w:bookmarkStart w:id="184" w:name="section"/>
    <w:p>
      <w:pPr>
        <w:pStyle w:val="Heading2"/>
      </w:pPr>
    </w:p>
    <w:bookmarkEnd w:id="184"/>
    <w:bookmarkStart w:id="186" w:name="general-discussion"/>
    <w:p>
      <w:pPr>
        <w:pStyle w:val="Heading2"/>
      </w:pPr>
      <w:r>
        <w:t xml:space="preserve">General discussion</w:t>
      </w:r>
    </w:p>
    <w:p>
      <w:pPr>
        <w:pStyle w:val="FirstParagraph"/>
      </w:pPr>
      <w:r>
        <w:t xml:space="preserve">The main lesson of this study is methodological as much as empirical. The comparison between the iEEG atlas and source-reconstructed HD-EEG does not reduce to whether one dataset reproduces the other: the answer depends on what counts as oscillatory power and how it is measured, and different spectral techniques turn the same data into different comparison objects. These summaries are closely related, but they are not interchangeable.</w:t>
      </w:r>
    </w:p>
    <w:p>
      <w:pPr>
        <w:pStyle w:val="BodyText"/>
      </w:pPr>
      <w:r>
        <w:t xml:space="preserve">The two modalities did not differ only in signal quality. Source-reconstructed HD-EEG produced a narrow, high-amplitude, alpha-dominated pattern, whereas the iEEG atlas showed a broader distribution of peaks together with a different aperiodic shape. Depending on the descriptor, the same contrast can read as partial cross-modal recovery or as failure. The result is therefore not a single stable answer hidden behind several analyses, but a demonstration that the answer depends on how</w:t>
      </w:r>
      <w:r>
        <w:t xml:space="preserve"> </w:t>
      </w:r>
      <w:r>
        <w:t xml:space="preserve">“oscillation”</w:t>
      </w:r>
      <w:r>
        <w:t xml:space="preserve">,</w:t>
      </w:r>
      <w:r>
        <w:t xml:space="preserve"> </w:t>
      </w:r>
      <w:r>
        <w:t xml:space="preserve">“frequency”</w:t>
      </w:r>
      <w:r>
        <w:t xml:space="preserve">, and</w:t>
      </w:r>
      <w:r>
        <w:t xml:space="preserve"> </w:t>
      </w:r>
      <w:r>
        <w:t xml:space="preserve">“agreement”</w:t>
      </w:r>
      <w:r>
        <w:t xml:space="preserve"> </w:t>
      </w:r>
      <w:r>
        <w:t xml:space="preserve">are operationalised. That operationalisation matters is a familiar point, but the variety of available descriptors makes it a practical problem here, not only a conceptual one.</w:t>
      </w:r>
    </w:p>
    <w:bookmarkStart w:id="185" w:name="branching-paths"/>
    <w:p>
      <w:pPr>
        <w:pStyle w:val="Heading3"/>
      </w:pPr>
      <w:r>
        <w:t xml:space="preserve">Branching paths</w:t>
      </w:r>
    </w:p>
    <w:p>
      <w:pPr>
        <w:pStyle w:val="FirstParagraph"/>
      </w:pPr>
      <w:r>
        <w:t xml:space="preserve">This chapter set out as a narrower comparison and widened as the surrounding methodological literature did; several of the studies that now anchor the analysis were published after the project began, and the scope had to be closed at some point rather than tracked indefinitely. The analysis has the structure of a garden of forking paths</w:t>
      </w:r>
      <w:r>
        <w:t xml:space="preserve"> </w:t>
      </w:r>
      <w:r>
        <w:t xml:space="preserve">(Gelman and Loken 2013)</w:t>
      </w:r>
      <w:r>
        <w:t xml:space="preserve">: many defensible operational choices were available before the results were interpreted, in how oscillations are extracted, how frequency is represented, and how cross-modal agreement is summarised. Rather than commit to one pipeline, we report several branches and ask which conclusions survive across them.</w:t>
      </w:r>
    </w:p>
    <w:p>
      <w:pPr>
        <w:pStyle w:val="BodyText"/>
      </w:pPr>
      <w:r>
        <w:t xml:space="preserve">One choice shaped the analysis enough to state directly: we avoided relative band power as a basis for inference. Relative powers are compositional, since within each channel the bands are normalised to a fixed total, so they cannot vary independently and ordinary correlation across them is not valid</w:t>
      </w:r>
      <w:r>
        <w:t xml:space="preserve"> </w:t>
      </w:r>
      <w:r>
        <w:t xml:space="preserve">(Filzmoser and Hron 2012)</w:t>
      </w:r>
      <w:r>
        <w:t xml:space="preserve">. We kept the untransformed maps as a descriptive summary and carried inference with the aperiodic-separated peak descriptors instead. Summarising a multivariate, multi-region, multi-band comparison is itself a data-reduction problem, and much of the work is carried by visualisation: several figures present closely related information from different angles, because no single reduction captures the comparison without discarding something that matters elsewhere.</w:t>
      </w:r>
    </w:p>
    <w:p>
      <w:pPr>
        <w:pStyle w:val="BodyText"/>
      </w:pPr>
      <w:r>
        <w:t xml:space="preserve">Different spectral methods rest on different assumptions about what in the power spectrum counts as the phenomenon, so each makes a different</w:t>
      </w:r>
      <w:r>
        <w:t xml:space="preserve"> </w:t>
      </w:r>
      <w:r>
        <w:t xml:space="preserve">“spectral object”</w:t>
      </w:r>
      <w:r>
        <w:t xml:space="preserve"> </w:t>
      </w:r>
      <w:r>
        <w:t xml:space="preserve">available rather than offering a different window onto one stable spectral truth. These operationalisations are constructed but not arbitrary, and some are more useful than others in a clinical context. The cost of treating them loosely, referring to</w:t>
      </w:r>
      <w:r>
        <w:t xml:space="preserve"> </w:t>
      </w:r>
      <w:r>
        <w:t xml:space="preserve">“the”</w:t>
      </w:r>
      <w:r>
        <w:t xml:space="preserve"> </w:t>
      </w:r>
      <w:r>
        <w:t xml:space="preserve">spectral measure or moving between measures without saying which, is confusion and contradictory claims about a biomarker’s validity.</w:t>
      </w:r>
    </w:p>
    <w:bookmarkEnd w:id="185"/>
    <w:bookmarkEnd w:id="186"/>
    <w:bookmarkStart w:id="187" w:name="limitations"/>
    <w:p>
      <w:pPr>
        <w:pStyle w:val="Heading2"/>
      </w:pPr>
      <w:r>
        <w:t xml:space="preserve">Limitations</w:t>
      </w:r>
    </w:p>
    <w:bookmarkEnd w:id="187"/>
    <w:bookmarkEnd w:id="188"/>
    <w:bookmarkStart w:id="190" w:name="conclusions"/>
    <w:p>
      <w:pPr>
        <w:pStyle w:val="Heading1"/>
      </w:pPr>
      <w:r>
        <w:t xml:space="preserve">Conclusions</w:t>
      </w:r>
    </w:p>
    <w:p>
      <w:pPr>
        <w:pStyle w:val="FirstParagraph"/>
      </w:pPr>
      <w:r>
        <w:t xml:space="preserve">The cross-modal question does not have a single answer: what the comparison shows depends on the descriptor used to obtain it. The clustering route makes this concrete. The k-means clustering, no-peak reference, and interval definition of the original atlas were too sensitive to preprocessing to transfer to the source-reconstructed spectra, so we abandoned that descriptor in favour of a more stable per-band peak descriptor.</w:t>
      </w:r>
    </w:p>
    <w:p>
      <w:pPr>
        <w:pStyle w:val="BodyText"/>
      </w:pPr>
      <w:r>
        <w:t xml:space="preserve">The contribution is a non-invasive validation against intracranial EEG using HD-EEG rather than MEG</w:t>
      </w:r>
      <w:r>
        <w:t xml:space="preserve"> </w:t>
      </w:r>
      <w:r>
        <w:t xml:space="preserve">(</w:t>
      </w:r>
      <w:r>
        <w:t xml:space="preserve">Afnan et al.</w:t>
      </w:r>
      <w:r>
        <w:t xml:space="preserve"> </w:t>
      </w:r>
      <w:r>
        <w:t xml:space="preserve">2023)</w:t>
      </w:r>
      <w:r>
        <w:t xml:space="preserve">, treating periodic and aperiodic features together rather than band power alone</w:t>
      </w:r>
      <w:r>
        <w:t xml:space="preserve"> </w:t>
      </w:r>
      <w:r>
        <w:t xml:space="preserve">(</w:t>
      </w:r>
      <w:r>
        <w:t xml:space="preserve">Janiukstyte et al.</w:t>
      </w:r>
      <w:r>
        <w:t xml:space="preserve"> </w:t>
      </w:r>
      <w:r>
        <w:t xml:space="preserve">2023)</w:t>
      </w:r>
      <w:r>
        <w:t xml:space="preserve">, and read across several agreement metrics rather than one. It does not show that normative HD-EEG maps are ready for clinical use, that these patterns hold across populations or recording conditions, or that source HD-EEG can stand in for iEEG at fine spatial scale. What it offers is a map of which regional spectral measures survive the move to a non-invasive modality, and under which modelling choices: the groundwork a biomarker or mapping study would build on, not that study itself.</w:t>
      </w:r>
    </w:p>
    <w:bookmarkStart w:id="189" w:name="further-steps"/>
    <w:p>
      <w:pPr>
        <w:pStyle w:val="Heading2"/>
      </w:pPr>
      <w:r>
        <w:t xml:space="preserve">Further steps</w:t>
      </w:r>
    </w:p>
    <w:p>
      <w:pPr>
        <w:pStyle w:val="FirstParagraph"/>
      </w:pPr>
      <w:r>
        <w:t xml:space="preserve">Two extensions follow directly from the present design. A simultaneously recorded iEEG-and-scalp dataset would let modality, recording condition, and population be separated, which the present two-cohort comparison cannot do. The same joint periodic/aperiodic comparison could also be run against other modalities and across different parcellation atlases, to test how far the recoverable structure depends on the specific atlas and source model used.</w:t>
      </w:r>
    </w:p>
    <w:bookmarkEnd w:id="189"/>
    <w:bookmarkEnd w:id="190"/>
    <w:bookmarkStart w:id="254" w:name="references"/>
    <w:p>
      <w:pPr>
        <w:pStyle w:val="Heading1"/>
      </w:pPr>
      <w:r>
        <w:t xml:space="preserve">References</w:t>
      </w:r>
    </w:p>
    <w:bookmarkStart w:id="253" w:name="refs"/>
    <w:bookmarkStart w:id="192" w:name="ref-afnan2023ValidatingMEGSource"/>
    <w:p>
      <w:pPr>
        <w:pStyle w:val="Bibliography"/>
      </w:pPr>
      <w:r>
        <w:t xml:space="preserve">Afnan, Jawata, Nicolás von Ellenrieder, Jean-Marc Lina, et al.</w:t>
      </w:r>
      <w:r>
        <w:t xml:space="preserve"> 2023.</w:t>
      </w:r>
      <w:r>
        <w:t xml:space="preserve"> </w:t>
      </w:r>
      <w:r>
        <w:t xml:space="preserve">“Validating</w:t>
      </w:r>
      <w:r>
        <w:t xml:space="preserve"> </w:t>
      </w:r>
      <w:r>
        <w:t xml:space="preserve">MEG</w:t>
      </w:r>
      <w:r>
        <w:t xml:space="preserve"> </w:t>
      </w:r>
      <w:r>
        <w:t xml:space="preserve">Source Imaging of Resting State Oscillatory Patterns with an Intracranial</w:t>
      </w:r>
      <w:r>
        <w:t xml:space="preserve"> </w:t>
      </w:r>
      <w:r>
        <w:t xml:space="preserve">EEG</w:t>
      </w:r>
      <w:r>
        <w:t xml:space="preserve"> </w:t>
      </w:r>
      <w:r>
        <w:t xml:space="preserve">Atlas.”</w:t>
      </w:r>
      <w:r>
        <w:t xml:space="preserve"> </w:t>
      </w:r>
      <w:r>
        <w:rPr>
          <w:i/>
          <w:iCs/>
        </w:rPr>
        <w:t xml:space="preserve">NeuroImage</w:t>
      </w:r>
      <w:r>
        <w:t xml:space="preserve"> </w:t>
      </w:r>
      <w:r>
        <w:t xml:space="preserve">274 (July): 120158.</w:t>
      </w:r>
      <w:r>
        <w:t xml:space="preserve"> </w:t>
      </w:r>
      <w:hyperlink r:id="rId191">
        <w:r>
          <w:rPr>
            <w:rStyle w:val="Hyperlink"/>
          </w:rPr>
          <w:t xml:space="preserve">https://doi.org/10.1016/j.neuroimage.2023.120158</w:t>
        </w:r>
      </w:hyperlink>
      <w:r>
        <w:t xml:space="preserve">.</w:t>
      </w:r>
    </w:p>
    <w:bookmarkEnd w:id="192"/>
    <w:bookmarkStart w:id="194" w:name="ref-ameen2025TemporallyResolvedAnalyses"/>
    <w:p>
      <w:pPr>
        <w:pStyle w:val="Bibliography"/>
      </w:pPr>
      <w:r>
        <w:t xml:space="preserve">Ameen, Mohamed S., Joshua Jacobs, Manuel Schabus, Kerstin Hoedlmoser, and Thomas Donoghue. 2025.</w:t>
      </w:r>
      <w:r>
        <w:t xml:space="preserve"> </w:t>
      </w:r>
      <w:r>
        <w:t xml:space="preserve">“Temporally Resolved Analyses of Aperiodic Features Track Neural Dynamics During Sleep.”</w:t>
      </w:r>
      <w:r>
        <w:t xml:space="preserve"> </w:t>
      </w:r>
      <w:r>
        <w:rPr>
          <w:i/>
          <w:iCs/>
        </w:rPr>
        <w:t xml:space="preserve">Communications Psychology</w:t>
      </w:r>
      <w:r>
        <w:t xml:space="preserve"> </w:t>
      </w:r>
      <w:r>
        <w:t xml:space="preserve">3 (1): 160.</w:t>
      </w:r>
      <w:r>
        <w:t xml:space="preserve"> </w:t>
      </w:r>
      <w:hyperlink r:id="rId193">
        <w:r>
          <w:rPr>
            <w:rStyle w:val="Hyperlink"/>
          </w:rPr>
          <w:t xml:space="preserve">https://doi.org/10.1038/s44271-025-00334-2</w:t>
        </w:r>
      </w:hyperlink>
      <w:r>
        <w:t xml:space="preserve">.</w:t>
      </w:r>
    </w:p>
    <w:bookmarkEnd w:id="194"/>
    <w:bookmarkStart w:id="196" w:name="ref-ball2009SignalQualitySimultaneously"/>
    <w:p>
      <w:pPr>
        <w:pStyle w:val="Bibliography"/>
      </w:pPr>
      <w:r>
        <w:t xml:space="preserve">Ball, Tonio, Markus Kern, Isabella Mutschler, Ad Aertsen, and Andreas Schulze-Bonhage. 2009.</w:t>
      </w:r>
      <w:r>
        <w:t xml:space="preserve"> </w:t>
      </w:r>
      <w:r>
        <w:t xml:space="preserve">“Signal Quality of Simultaneously Recorded Invasive and Non-Invasive</w:t>
      </w:r>
      <w:r>
        <w:t xml:space="preserve"> </w:t>
      </w:r>
      <w:r>
        <w:t xml:space="preserve">EEG</w:t>
      </w:r>
      <w:r>
        <w:t xml:space="preserve">.”</w:t>
      </w:r>
      <w:r>
        <w:t xml:space="preserve"> </w:t>
      </w:r>
      <w:r>
        <w:rPr>
          <w:i/>
          <w:iCs/>
        </w:rPr>
        <w:t xml:space="preserve">NeuroImage</w:t>
      </w:r>
      <w:r>
        <w:t xml:space="preserve"> </w:t>
      </w:r>
      <w:r>
        <w:t xml:space="preserve">46 (3): 708–16.</w:t>
      </w:r>
      <w:r>
        <w:t xml:space="preserve"> </w:t>
      </w:r>
      <w:hyperlink r:id="rId195">
        <w:r>
          <w:rPr>
            <w:rStyle w:val="Hyperlink"/>
          </w:rPr>
          <w:t xml:space="preserve">https://doi.org/10.1016/j.neuroimage.2009.02.028</w:t>
        </w:r>
      </w:hyperlink>
      <w:r>
        <w:t xml:space="preserve">.</w:t>
      </w:r>
    </w:p>
    <w:bookmarkEnd w:id="196"/>
    <w:bookmarkStart w:id="197" w:name="ref-bland1986StatisticalMethodsAssessing"/>
    <w:p>
      <w:pPr>
        <w:pStyle w:val="Bibliography"/>
      </w:pPr>
      <w:r>
        <w:t xml:space="preserve">Bland, J. Martin, and DouglasG Altman. 1986.</w:t>
      </w:r>
      <w:r>
        <w:t xml:space="preserve"> </w:t>
      </w:r>
      <w:r>
        <w:t xml:space="preserve">“Statistical Methods for Assessing Agreement Between Two Methods of Clinical Measurement.”</w:t>
      </w:r>
      <w:r>
        <w:t xml:space="preserve"> </w:t>
      </w:r>
      <w:r>
        <w:rPr>
          <w:i/>
          <w:iCs/>
        </w:rPr>
        <w:t xml:space="preserve">The Lancet</w:t>
      </w:r>
      <w:r>
        <w:t xml:space="preserve"> </w:t>
      </w:r>
      <w:r>
        <w:t xml:space="preserve">327 (8476): 307–10.</w:t>
      </w:r>
    </w:p>
    <w:bookmarkEnd w:id="197"/>
    <w:bookmarkStart w:id="199" w:name="X58d86ceebd35cb79aa77951121a4ac4690ab86d"/>
    <w:p>
      <w:pPr>
        <w:pStyle w:val="Bibliography"/>
      </w:pPr>
      <w:r>
        <w:t xml:space="preserve">Bloniasz, Patrick Francis, and Emily Patricia Stephen. 2026.</w:t>
      </w:r>
      <w:r>
        <w:t xml:space="preserve"> </w:t>
      </w:r>
      <w:r>
        <w:rPr>
          <w:i/>
          <w:iCs/>
        </w:rPr>
        <w:t xml:space="preserve">Spectral Decompositions of Neural Voltage Recordings Are Susceptible to Model Misspecifications That Cause Meaningful Estimation Error</w:t>
      </w:r>
      <w:r>
        <w:t xml:space="preserve">.</w:t>
      </w:r>
      <w:r>
        <w:t xml:space="preserve"> </w:t>
      </w:r>
      <w:hyperlink r:id="rId198">
        <w:r>
          <w:rPr>
            <w:rStyle w:val="Hyperlink"/>
          </w:rPr>
          <w:t xml:space="preserve">https://doi.org/10.64898/2026.06.12.718232</w:t>
        </w:r>
      </w:hyperlink>
      <w:r>
        <w:t xml:space="preserve">.</w:t>
      </w:r>
    </w:p>
    <w:bookmarkEnd w:id="199"/>
    <w:bookmarkStart w:id="201" w:name="ref-boncompte2026AperiodicExponentBrain"/>
    <w:p>
      <w:pPr>
        <w:pStyle w:val="Bibliography"/>
      </w:pPr>
      <w:r>
        <w:t xml:space="preserve">Boncompte, Gonzalo, Martin Irani, Jean-Philippe Lachaux, Vicente Medel, and Tomas Ossandon. 2026.</w:t>
      </w:r>
      <w:r>
        <w:t xml:space="preserve"> </w:t>
      </w:r>
      <w:r>
        <w:t xml:space="preserve">“Aperiodic</w:t>
      </w:r>
      <w:r>
        <w:t xml:space="preserve"> </w:t>
      </w:r>
      <w:r>
        <w:t xml:space="preserve">Exponent</w:t>
      </w:r>
      <w:r>
        <w:t xml:space="preserve"> </w:t>
      </w:r>
      <w:r>
        <w:t xml:space="preserve">of</w:t>
      </w:r>
      <w:r>
        <w:t xml:space="preserve"> </w:t>
      </w:r>
      <w:r>
        <w:t xml:space="preserve">Brain Field Potentials Is Dependent</w:t>
      </w:r>
      <w:r>
        <w:t xml:space="preserve"> </w:t>
      </w:r>
      <w:r>
        <w:t xml:space="preserve">on the</w:t>
      </w:r>
      <w:r>
        <w:t xml:space="preserve"> </w:t>
      </w:r>
      <w:r>
        <w:t xml:space="preserve">Frequency Range It Is Estimated</w:t>
      </w:r>
      <w:r>
        <w:t xml:space="preserve">.”</w:t>
      </w:r>
      <w:r>
        <w:t xml:space="preserve"> </w:t>
      </w:r>
      <w:r>
        <w:rPr>
          <w:i/>
          <w:iCs/>
        </w:rPr>
        <w:t xml:space="preserve">IEEE Transactions on Neural Systems and Rehabilitation Engineering</w:t>
      </w:r>
      <w:r>
        <w:t xml:space="preserve"> </w:t>
      </w:r>
      <w:r>
        <w:t xml:space="preserve">34: 500–506.</w:t>
      </w:r>
      <w:r>
        <w:t xml:space="preserve"> </w:t>
      </w:r>
      <w:hyperlink r:id="rId200">
        <w:r>
          <w:rPr>
            <w:rStyle w:val="Hyperlink"/>
          </w:rPr>
          <w:t xml:space="preserve">https://doi.org/10.1109/TNSRE.2025.3649641</w:t>
        </w:r>
      </w:hyperlink>
      <w:r>
        <w:t xml:space="preserve">.</w:t>
      </w:r>
    </w:p>
    <w:bookmarkEnd w:id="201"/>
    <w:bookmarkStart w:id="203" w:name="X1f7cd5791e40ed280e2781cc1ca5e270dab0e2f"/>
    <w:p>
      <w:pPr>
        <w:pStyle w:val="Bibliography"/>
      </w:pPr>
      <w:r>
        <w:t xml:space="preserve">Brake, Niklas, Flavie Duc, Alexander Rokos, et al. 2024.</w:t>
      </w:r>
      <w:r>
        <w:t xml:space="preserve"> </w:t>
      </w:r>
      <w:r>
        <w:t xml:space="preserve">“A Neurophysiological Basis for Aperiodic</w:t>
      </w:r>
      <w:r>
        <w:t xml:space="preserve"> </w:t>
      </w:r>
      <w:r>
        <w:t xml:space="preserve">EEG</w:t>
      </w:r>
      <w:r>
        <w:t xml:space="preserve"> </w:t>
      </w:r>
      <w:r>
        <w:t xml:space="preserve">and the Background Spectral Trend.”</w:t>
      </w:r>
      <w:r>
        <w:t xml:space="preserve"> </w:t>
      </w:r>
      <w:r>
        <w:rPr>
          <w:i/>
          <w:iCs/>
        </w:rPr>
        <w:t xml:space="preserve">Nature Communications</w:t>
      </w:r>
      <w:r>
        <w:t xml:space="preserve"> </w:t>
      </w:r>
      <w:r>
        <w:t xml:space="preserve">15 (1): 1514.</w:t>
      </w:r>
      <w:r>
        <w:t xml:space="preserve"> </w:t>
      </w:r>
      <w:hyperlink r:id="rId202">
        <w:r>
          <w:rPr>
            <w:rStyle w:val="Hyperlink"/>
          </w:rPr>
          <w:t xml:space="preserve">https://doi.org/10.1038/s41467-024-45922-8</w:t>
        </w:r>
      </w:hyperlink>
      <w:r>
        <w:t xml:space="preserve">.</w:t>
      </w:r>
    </w:p>
    <w:bookmarkEnd w:id="203"/>
    <w:bookmarkStart w:id="205" w:name="ref-buzsaki2012OriginExtracellularFields"/>
    <w:p>
      <w:pPr>
        <w:pStyle w:val="Bibliography"/>
      </w:pPr>
      <w:r>
        <w:t xml:space="preserve">Buzsáki, György, Costas A. Anastassiou, and Christof Koch. 2012.</w:t>
      </w:r>
      <w:r>
        <w:t xml:space="preserve"> </w:t>
      </w:r>
      <w:r>
        <w:t xml:space="preserve">“The Origin of Extracellular Fields and Currents —</w:t>
      </w:r>
      <w:r>
        <w:t xml:space="preserve"> </w:t>
      </w:r>
      <w:r>
        <w:t xml:space="preserve">EEG</w:t>
      </w:r>
      <w:r>
        <w:t xml:space="preserve">,</w:t>
      </w:r>
      <w:r>
        <w:t xml:space="preserve"> </w:t>
      </w:r>
      <w:r>
        <w:t xml:space="preserve">ECoG</w:t>
      </w:r>
      <w:r>
        <w:t xml:space="preserve">,</w:t>
      </w:r>
      <w:r>
        <w:t xml:space="preserve"> </w:t>
      </w:r>
      <w:r>
        <w:t xml:space="preserve">LFP</w:t>
      </w:r>
      <w:r>
        <w:t xml:space="preserve"> </w:t>
      </w:r>
      <w:r>
        <w:t xml:space="preserve">and Spikes.”</w:t>
      </w:r>
      <w:r>
        <w:t xml:space="preserve"> </w:t>
      </w:r>
      <w:r>
        <w:rPr>
          <w:i/>
          <w:iCs/>
        </w:rPr>
        <w:t xml:space="preserve">Nature Reviews Neuroscience</w:t>
      </w:r>
      <w:r>
        <w:t xml:space="preserve"> </w:t>
      </w:r>
      <w:r>
        <w:t xml:space="preserve">13 (6): 407–20.</w:t>
      </w:r>
      <w:r>
        <w:t xml:space="preserve"> </w:t>
      </w:r>
      <w:hyperlink r:id="rId204">
        <w:r>
          <w:rPr>
            <w:rStyle w:val="Hyperlink"/>
          </w:rPr>
          <w:t xml:space="preserve">https://doi.org/10.1038/nrn3241</w:t>
        </w:r>
      </w:hyperlink>
      <w:r>
        <w:t xml:space="preserve">.</w:t>
      </w:r>
    </w:p>
    <w:bookmarkEnd w:id="205"/>
    <w:bookmarkStart w:id="207" w:name="X32e26a00706548e0055fe47424ea55fbf1ebc06"/>
    <w:p>
      <w:pPr>
        <w:pStyle w:val="Bibliography"/>
      </w:pPr>
      <w:r>
        <w:t xml:space="preserve">Castanheira, Jason da Silva, Mathieu Landry, and Stephen M. Fleming. 2026.</w:t>
      </w:r>
      <w:r>
        <w:t xml:space="preserve"> </w:t>
      </w:r>
      <w:r>
        <w:rPr>
          <w:i/>
          <w:iCs/>
        </w:rPr>
        <w:t xml:space="preserve">Analytical</w:t>
      </w:r>
      <w:r>
        <w:rPr>
          <w:i/>
          <w:iCs/>
        </w:rPr>
        <w:t xml:space="preserve"> </w:t>
      </w:r>
      <w:r>
        <w:rPr>
          <w:i/>
          <w:iCs/>
        </w:rPr>
        <w:t xml:space="preserve">Choices Impact</w:t>
      </w:r>
      <w:r>
        <w:rPr>
          <w:i/>
          <w:iCs/>
        </w:rPr>
        <w:t xml:space="preserve"> </w:t>
      </w:r>
      <w:r>
        <w:rPr>
          <w:i/>
          <w:iCs/>
        </w:rPr>
        <w:t xml:space="preserve">the</w:t>
      </w:r>
      <w:r>
        <w:rPr>
          <w:i/>
          <w:iCs/>
        </w:rPr>
        <w:t xml:space="preserve"> </w:t>
      </w:r>
      <w:r>
        <w:rPr>
          <w:i/>
          <w:iCs/>
        </w:rPr>
        <w:t xml:space="preserve">Estimation</w:t>
      </w:r>
      <w:r>
        <w:rPr>
          <w:i/>
          <w:iCs/>
        </w:rPr>
        <w:t xml:space="preserve"> </w:t>
      </w:r>
      <w:r>
        <w:rPr>
          <w:i/>
          <w:iCs/>
        </w:rPr>
        <w:t xml:space="preserve">of</w:t>
      </w:r>
      <w:r>
        <w:rPr>
          <w:i/>
          <w:iCs/>
        </w:rPr>
        <w:t xml:space="preserve"> </w:t>
      </w:r>
      <w:r>
        <w:rPr>
          <w:i/>
          <w:iCs/>
        </w:rPr>
        <w:t xml:space="preserve">Rhythmic</w:t>
      </w:r>
      <w:r>
        <w:rPr>
          <w:i/>
          <w:iCs/>
        </w:rPr>
        <w:t xml:space="preserve"> </w:t>
      </w:r>
      <w:r>
        <w:rPr>
          <w:i/>
          <w:iCs/>
        </w:rPr>
        <w:t xml:space="preserve">and</w:t>
      </w:r>
      <w:r>
        <w:rPr>
          <w:i/>
          <w:iCs/>
        </w:rPr>
        <w:t xml:space="preserve"> </w:t>
      </w:r>
      <w:r>
        <w:rPr>
          <w:i/>
          <w:iCs/>
        </w:rPr>
        <w:t xml:space="preserve">Arrhythmic Components</w:t>
      </w:r>
      <w:r>
        <w:rPr>
          <w:i/>
          <w:iCs/>
        </w:rPr>
        <w:t xml:space="preserve"> </w:t>
      </w:r>
      <w:r>
        <w:rPr>
          <w:i/>
          <w:iCs/>
        </w:rPr>
        <w:t xml:space="preserve">of</w:t>
      </w:r>
      <w:r>
        <w:rPr>
          <w:i/>
          <w:iCs/>
        </w:rPr>
        <w:t xml:space="preserve"> </w:t>
      </w:r>
      <w:r>
        <w:rPr>
          <w:i/>
          <w:iCs/>
        </w:rPr>
        <w:t xml:space="preserve">Brain Activity</w:t>
      </w:r>
      <w:r>
        <w:t xml:space="preserve">. bioRxiv.</w:t>
      </w:r>
      <w:r>
        <w:t xml:space="preserve"> </w:t>
      </w:r>
      <w:hyperlink r:id="rId206">
        <w:r>
          <w:rPr>
            <w:rStyle w:val="Hyperlink"/>
          </w:rPr>
          <w:t xml:space="preserve">https://doi.org/10.1101/2025.09.24.678322</w:t>
        </w:r>
      </w:hyperlink>
      <w:r>
        <w:t xml:space="preserve">.</w:t>
      </w:r>
    </w:p>
    <w:bookmarkEnd w:id="207"/>
    <w:bookmarkStart w:id="209" w:name="Xadfe012b2f37e0b7d6a939258b5722e6e5f99bd"/>
    <w:p>
      <w:pPr>
        <w:pStyle w:val="Bibliography"/>
      </w:pPr>
      <w:r>
        <w:t xml:space="preserve">De Keulenaer, Stéphanie, Sara Van Mossevelde, Tobi Van den Bossche, et al. 2025.</w:t>
      </w:r>
      <w:r>
        <w:t xml:space="preserve"> </w:t>
      </w:r>
      <w:r>
        <w:t xml:space="preserve">“Diagnostic Utility of Electrophysiological Markers for Early and Differential Diagnosis of</w:t>
      </w:r>
      <w:r>
        <w:t xml:space="preserve"> </w:t>
      </w:r>
      <w:r>
        <w:t xml:space="preserve">Alzheimer</w:t>
      </w:r>
      <w:r>
        <w:t xml:space="preserve">’s,</w:t>
      </w:r>
      <w:r>
        <w:t xml:space="preserve"> </w:t>
      </w:r>
      <w:r>
        <w:t xml:space="preserve">Frontotemporal</w:t>
      </w:r>
      <w:r>
        <w:t xml:space="preserve">, and</w:t>
      </w:r>
      <w:r>
        <w:t xml:space="preserve"> </w:t>
      </w:r>
      <w:r>
        <w:t xml:space="preserve">Lewy Body</w:t>
      </w:r>
      <w:r>
        <w:t xml:space="preserve"> </w:t>
      </w:r>
      <w:r>
        <w:t xml:space="preserve">Dementias:</w:t>
      </w:r>
      <w:r>
        <w:t xml:space="preserve"> </w:t>
      </w:r>
      <w:r>
        <w:t xml:space="preserve">A</w:t>
      </w:r>
      <w:r>
        <w:t xml:space="preserve"> </w:t>
      </w:r>
      <w:r>
        <w:t xml:space="preserve">Systematic Review.”</w:t>
      </w:r>
      <w:r>
        <w:t xml:space="preserve"> </w:t>
      </w:r>
      <w:r>
        <w:rPr>
          <w:i/>
          <w:iCs/>
        </w:rPr>
        <w:t xml:space="preserve">Neurological Sciences</w:t>
      </w:r>
      <w:r>
        <w:t xml:space="preserve">, ahead of print, May.</w:t>
      </w:r>
      <w:r>
        <w:t xml:space="preserve"> </w:t>
      </w:r>
      <w:hyperlink r:id="rId208">
        <w:r>
          <w:rPr>
            <w:rStyle w:val="Hyperlink"/>
          </w:rPr>
          <w:t xml:space="preserve">https://doi.org/10.1007/s10072-025-08207-6</w:t>
        </w:r>
      </w:hyperlink>
      <w:r>
        <w:t xml:space="preserve">.</w:t>
      </w:r>
    </w:p>
    <w:bookmarkEnd w:id="209"/>
    <w:bookmarkStart w:id="211" w:name="X2495b1a36f5e3f5a6998318f2c2a5a5fc2d77e9"/>
    <w:p>
      <w:pPr>
        <w:pStyle w:val="Bibliography"/>
      </w:pPr>
      <w:r>
        <w:t xml:space="preserve">Donoghue, Thomas, Matar Haller, Erik J. Peterson, et al. 2020.</w:t>
      </w:r>
      <w:r>
        <w:t xml:space="preserve"> </w:t>
      </w:r>
      <w:r>
        <w:t xml:space="preserve">“Parameterizing Neural Power Spectra into Periodic and Aperiodic Components.”</w:t>
      </w:r>
      <w:r>
        <w:t xml:space="preserve"> </w:t>
      </w:r>
      <w:r>
        <w:rPr>
          <w:i/>
          <w:iCs/>
        </w:rPr>
        <w:t xml:space="preserve">Nature Neuroscience</w:t>
      </w:r>
      <w:r>
        <w:t xml:space="preserve"> </w:t>
      </w:r>
      <w:r>
        <w:t xml:space="preserve">23 (12): 1655–65.</w:t>
      </w:r>
      <w:r>
        <w:t xml:space="preserve"> </w:t>
      </w:r>
      <w:hyperlink r:id="rId210">
        <w:r>
          <w:rPr>
            <w:rStyle w:val="Hyperlink"/>
          </w:rPr>
          <w:t xml:space="preserve">https://doi.org/10.1038/s41593-020-00744-x</w:t>
        </w:r>
      </w:hyperlink>
      <w:r>
        <w:t xml:space="preserve">.</w:t>
      </w:r>
    </w:p>
    <w:bookmarkEnd w:id="211"/>
    <w:bookmarkStart w:id="213" w:name="X65db43d40b4edd5a4249c17f335c0e26bb9d049"/>
    <w:p>
      <w:pPr>
        <w:pStyle w:val="Bibliography"/>
      </w:pPr>
      <w:r>
        <w:t xml:space="preserve">Filzmoser, Peter, and Karel Hron. 2012.</w:t>
      </w:r>
      <w:r>
        <w:t xml:space="preserve"> </w:t>
      </w:r>
      <w:r>
        <w:t xml:space="preserve">“Correlation</w:t>
      </w:r>
      <w:r>
        <w:t xml:space="preserve"> </w:t>
      </w:r>
      <w:r>
        <w:t xml:space="preserve">Analysis</w:t>
      </w:r>
      <w:r>
        <w:t xml:space="preserve"> </w:t>
      </w:r>
      <w:r>
        <w:t xml:space="preserve">for</w:t>
      </w:r>
      <w:r>
        <w:t xml:space="preserve"> </w:t>
      </w:r>
      <w:r>
        <w:t xml:space="preserve">Compositional Data</w:t>
      </w:r>
      <w:r>
        <w:t xml:space="preserve">.”</w:t>
      </w:r>
      <w:r>
        <w:t xml:space="preserve"> </w:t>
      </w:r>
      <w:r>
        <w:rPr>
          <w:i/>
          <w:iCs/>
        </w:rPr>
        <w:t xml:space="preserve">Mathematical Geosciences</w:t>
      </w:r>
      <w:r>
        <w:t xml:space="preserve"> </w:t>
      </w:r>
      <w:r>
        <w:t xml:space="preserve">41 (8): 905–19.</w:t>
      </w:r>
      <w:r>
        <w:t xml:space="preserve"> </w:t>
      </w:r>
      <w:hyperlink r:id="rId212">
        <w:r>
          <w:rPr>
            <w:rStyle w:val="Hyperlink"/>
          </w:rPr>
          <w:t xml:space="preserve">https://doi.org/10.1007/s11004-008-9196-y</w:t>
        </w:r>
      </w:hyperlink>
      <w:r>
        <w:t xml:space="preserve">.</w:t>
      </w:r>
    </w:p>
    <w:bookmarkEnd w:id="213"/>
    <w:bookmarkStart w:id="215" w:name="ref-frauscher2018AtlasNormalIntracranial"/>
    <w:p>
      <w:pPr>
        <w:pStyle w:val="Bibliography"/>
      </w:pPr>
      <w:r>
        <w:t xml:space="preserve">Frauscher, Birgit, Nicolas von Ellenrieder, Rina Zelmann, et al.</w:t>
      </w:r>
      <w:r>
        <w:t xml:space="preserve"> 2018.</w:t>
      </w:r>
      <w:r>
        <w:t xml:space="preserve"> </w:t>
      </w:r>
      <w:r>
        <w:t xml:space="preserve">“Atlas of the Normal Intracranial Electroencephalogram: Neurophysiological Awake Activity in Different Cortical Areas.”</w:t>
      </w:r>
      <w:r>
        <w:t xml:space="preserve"> </w:t>
      </w:r>
      <w:r>
        <w:rPr>
          <w:i/>
          <w:iCs/>
        </w:rPr>
        <w:t xml:space="preserve">Brain</w:t>
      </w:r>
      <w:r>
        <w:t xml:space="preserve"> </w:t>
      </w:r>
      <w:r>
        <w:t xml:space="preserve">141 (4): 1130–44.</w:t>
      </w:r>
      <w:r>
        <w:t xml:space="preserve"> </w:t>
      </w:r>
      <w:hyperlink r:id="rId214">
        <w:r>
          <w:rPr>
            <w:rStyle w:val="Hyperlink"/>
          </w:rPr>
          <w:t xml:space="preserve">https://doi.org/10.1093/brain/awy035</w:t>
        </w:r>
      </w:hyperlink>
      <w:r>
        <w:t xml:space="preserve">.</w:t>
      </w:r>
    </w:p>
    <w:bookmarkEnd w:id="215"/>
    <w:bookmarkStart w:id="216" w:name="ref-gelman2013GardenForkingPaths"/>
    <w:p>
      <w:pPr>
        <w:pStyle w:val="Bibliography"/>
      </w:pPr>
      <w:r>
        <w:t xml:space="preserve">Gelman, Andrew, and Eric Loken. 2013.</w:t>
      </w:r>
      <w:r>
        <w:t xml:space="preserve"> </w:t>
      </w:r>
      <w:r>
        <w:t xml:space="preserve">“The Garden of Forking Paths:</w:t>
      </w:r>
      <w:r>
        <w:t xml:space="preserve"> </w:t>
      </w:r>
      <w:r>
        <w:t xml:space="preserve">Why</w:t>
      </w:r>
      <w:r>
        <w:t xml:space="preserve"> </w:t>
      </w:r>
      <w:r>
        <w:t xml:space="preserve">Multiple Comparisons Can Be a Problem, Even When There Is No</w:t>
      </w:r>
      <w:r>
        <w:t xml:space="preserve"> </w:t>
      </w:r>
      <w:r>
        <w:t xml:space="preserve">‘Fishing Expedition’</w:t>
      </w:r>
      <w:r>
        <w:t xml:space="preserve"> </w:t>
      </w:r>
      <w:r>
        <w:t xml:space="preserve">or</w:t>
      </w:r>
      <w:r>
        <w:t xml:space="preserve"> </w:t>
      </w:r>
      <w:r>
        <w:t xml:space="preserve">‘p-Hacking’</w:t>
      </w:r>
      <w:r>
        <w:t xml:space="preserve"> </w:t>
      </w:r>
      <w:r>
        <w:t xml:space="preserve">and the Research Hypothesis Was Posited Ahead of Time.”</w:t>
      </w:r>
      <w:r>
        <w:t xml:space="preserve"> </w:t>
      </w:r>
      <w:r>
        <w:rPr>
          <w:i/>
          <w:iCs/>
        </w:rPr>
        <w:t xml:space="preserve">Department of Statistics, Columbia University</w:t>
      </w:r>
      <w:r>
        <w:t xml:space="preserve"> </w:t>
      </w:r>
      <w:r>
        <w:t xml:space="preserve">348 (1-17): 3.</w:t>
      </w:r>
    </w:p>
    <w:bookmarkEnd w:id="216"/>
    <w:bookmarkStart w:id="218" w:name="X4cf53e9b373fa8c17600b24623c17e5b2b7eb5f"/>
    <w:p>
      <w:pPr>
        <w:pStyle w:val="Bibliography"/>
      </w:pPr>
      <w:r>
        <w:t xml:space="preserve">Gerster, Moritz, Gunnar Waterstraat, Vladimir Litvak, et al. 2022.</w:t>
      </w:r>
      <w:r>
        <w:t xml:space="preserve"> </w:t>
      </w:r>
      <w:r>
        <w:t xml:space="preserve">“Separating</w:t>
      </w:r>
      <w:r>
        <w:t xml:space="preserve"> </w:t>
      </w:r>
      <w:r>
        <w:t xml:space="preserve">Neural Oscillations</w:t>
      </w:r>
      <w:r>
        <w:t xml:space="preserve"> </w:t>
      </w:r>
      <w:r>
        <w:t xml:space="preserve">from</w:t>
      </w:r>
      <w:r>
        <w:t xml:space="preserve"> </w:t>
      </w:r>
      <w:r>
        <w:t xml:space="preserve">Aperiodic</w:t>
      </w:r>
      <w:r>
        <w:t xml:space="preserve"> </w:t>
      </w:r>
      <w:r>
        <w:t xml:space="preserve">1/f</w:t>
      </w:r>
      <w:r>
        <w:t xml:space="preserve"> </w:t>
      </w:r>
      <w:r>
        <w:t xml:space="preserve">Activity</w:t>
      </w:r>
      <w:r>
        <w:t xml:space="preserve">:</w:t>
      </w:r>
      <w:r>
        <w:t xml:space="preserve"> </w:t>
      </w:r>
      <w:r>
        <w:t xml:space="preserve">Challenges</w:t>
      </w:r>
      <w:r>
        <w:t xml:space="preserve"> </w:t>
      </w:r>
      <w:r>
        <w:t xml:space="preserve">and</w:t>
      </w:r>
      <w:r>
        <w:t xml:space="preserve"> </w:t>
      </w:r>
      <w:r>
        <w:t xml:space="preserve">Recommendations</w:t>
      </w:r>
      <w:r>
        <w:t xml:space="preserve">.”</w:t>
      </w:r>
      <w:r>
        <w:t xml:space="preserve"> </w:t>
      </w:r>
      <w:r>
        <w:rPr>
          <w:i/>
          <w:iCs/>
        </w:rPr>
        <w:t xml:space="preserve">Neuroinformatics</w:t>
      </w:r>
      <w:r>
        <w:t xml:space="preserve">, ahead of print, April.</w:t>
      </w:r>
      <w:r>
        <w:t xml:space="preserve"> </w:t>
      </w:r>
      <w:hyperlink r:id="rId217">
        <w:r>
          <w:rPr>
            <w:rStyle w:val="Hyperlink"/>
          </w:rPr>
          <w:t xml:space="preserve">https://doi.org/10.1007/s12021-022-09581-8</w:t>
        </w:r>
      </w:hyperlink>
      <w:r>
        <w:t xml:space="preserve">.</w:t>
      </w:r>
    </w:p>
    <w:bookmarkEnd w:id="218"/>
    <w:bookmarkStart w:id="220" w:name="ref-groppe2013DominantFrequenciesResting"/>
    <w:p>
      <w:pPr>
        <w:pStyle w:val="Bibliography"/>
      </w:pPr>
      <w:r>
        <w:t xml:space="preserve">Groppe, David M., Stephan Bickel, Corey J. Keller, et al. 2013.</w:t>
      </w:r>
      <w:r>
        <w:t xml:space="preserve"> </w:t>
      </w:r>
      <w:r>
        <w:t xml:space="preserve">“Dominant Frequencies of Resting Human Brain Activity as Measured by the Electrocorticogram.”</w:t>
      </w:r>
      <w:r>
        <w:t xml:space="preserve"> </w:t>
      </w:r>
      <w:r>
        <w:rPr>
          <w:i/>
          <w:iCs/>
        </w:rPr>
        <w:t xml:space="preserve">NeuroImage</w:t>
      </w:r>
      <w:r>
        <w:t xml:space="preserve"> </w:t>
      </w:r>
      <w:r>
        <w:t xml:space="preserve">79 (October): 223–33.</w:t>
      </w:r>
      <w:r>
        <w:t xml:space="preserve"> </w:t>
      </w:r>
      <w:hyperlink r:id="rId219">
        <w:r>
          <w:rPr>
            <w:rStyle w:val="Hyperlink"/>
          </w:rPr>
          <w:t xml:space="preserve">https://doi.org/10.1016/j.neuroimage.2013.04.044</w:t>
        </w:r>
      </w:hyperlink>
      <w:r>
        <w:t xml:space="preserve">.</w:t>
      </w:r>
    </w:p>
    <w:bookmarkEnd w:id="220"/>
    <w:bookmarkStart w:id="222" w:name="ref-janiukstyte2023NormativeBrainMapping"/>
    <w:p>
      <w:pPr>
        <w:pStyle w:val="Bibliography"/>
      </w:pPr>
      <w:r>
        <w:t xml:space="preserve">Janiukstyte, Vytene, Thomas W. Owen, Umair J. Chaudhary, et al.</w:t>
      </w:r>
      <w:r>
        <w:t xml:space="preserve"> 2023.</w:t>
      </w:r>
      <w:r>
        <w:t xml:space="preserve"> </w:t>
      </w:r>
      <w:r>
        <w:t xml:space="preserve">“Normative Brain Mapping Using Scalp</w:t>
      </w:r>
      <w:r>
        <w:t xml:space="preserve"> </w:t>
      </w:r>
      <w:r>
        <w:t xml:space="preserve">EEG</w:t>
      </w:r>
      <w:r>
        <w:t xml:space="preserve"> </w:t>
      </w:r>
      <w:r>
        <w:t xml:space="preserve">and Potential Clinical Application.”</w:t>
      </w:r>
      <w:r>
        <w:t xml:space="preserve"> </w:t>
      </w:r>
      <w:r>
        <w:rPr>
          <w:i/>
          <w:iCs/>
        </w:rPr>
        <w:t xml:space="preserve">Scientific Reports</w:t>
      </w:r>
      <w:r>
        <w:t xml:space="preserve"> </w:t>
      </w:r>
      <w:r>
        <w:t xml:space="preserve">13 (1): 13442.</w:t>
      </w:r>
      <w:r>
        <w:t xml:space="preserve"> </w:t>
      </w:r>
      <w:hyperlink r:id="rId221">
        <w:r>
          <w:rPr>
            <w:rStyle w:val="Hyperlink"/>
          </w:rPr>
          <w:t xml:space="preserve">https://doi.org/10.1038/s41598-023-39700-7</w:t>
        </w:r>
      </w:hyperlink>
      <w:r>
        <w:t xml:space="preserve">.</w:t>
      </w:r>
    </w:p>
    <w:bookmarkEnd w:id="222"/>
    <w:bookmarkStart w:id="224" w:name="X2af60bb45891136e992f408af0d421807e05f03"/>
    <w:p>
      <w:pPr>
        <w:pStyle w:val="Bibliography"/>
      </w:pPr>
      <w:r>
        <w:t xml:space="preserve">Jaramillo-Jimenez, Alberto, Yorguin-Jose Mantilla-Ramos, Diego A. Tovar-Rios, et al. 2025.</w:t>
      </w:r>
      <w:r>
        <w:t xml:space="preserve"> </w:t>
      </w:r>
      <w:r>
        <w:t xml:space="preserve">“Characterizing Resting-State</w:t>
      </w:r>
      <w:r>
        <w:t xml:space="preserve"> </w:t>
      </w:r>
      <w:r>
        <w:t xml:space="preserve">EEG</w:t>
      </w:r>
      <w:r>
        <w:t xml:space="preserve"> </w:t>
      </w:r>
      <w:r>
        <w:t xml:space="preserve">Oscillatory and Aperiodic Activity in Neurodegenerative Diseases:</w:t>
      </w:r>
      <w:r>
        <w:t xml:space="preserve"> </w:t>
      </w:r>
      <w:r>
        <w:t xml:space="preserve">A</w:t>
      </w:r>
      <w:r>
        <w:t xml:space="preserve"> </w:t>
      </w:r>
      <w:r>
        <w:t xml:space="preserve">Multicentric Study.”</w:t>
      </w:r>
      <w:r>
        <w:t xml:space="preserve"> </w:t>
      </w:r>
      <w:r>
        <w:rPr>
          <w:i/>
          <w:iCs/>
        </w:rPr>
        <w:t xml:space="preserve">Computers in Biology and Medicine</w:t>
      </w:r>
      <w:r>
        <w:t xml:space="preserve"> </w:t>
      </w:r>
      <w:r>
        <w:t xml:space="preserve">197 (October): 111080.</w:t>
      </w:r>
      <w:r>
        <w:t xml:space="preserve"> </w:t>
      </w:r>
      <w:hyperlink r:id="rId223">
        <w:r>
          <w:rPr>
            <w:rStyle w:val="Hyperlink"/>
          </w:rPr>
          <w:t xml:space="preserve">https://doi.org/10.1016/j.compbiomed.2025.111080</w:t>
        </w:r>
      </w:hyperlink>
      <w:r>
        <w:t xml:space="preserve">.</w:t>
      </w:r>
    </w:p>
    <w:bookmarkEnd w:id="224"/>
    <w:bookmarkStart w:id="226" w:name="ref-keitel2016IndividualHumanBrain"/>
    <w:p>
      <w:pPr>
        <w:pStyle w:val="Bibliography"/>
      </w:pPr>
      <w:r>
        <w:t xml:space="preserve">Keitel, Anne, and Joachim Gross. 2016.</w:t>
      </w:r>
      <w:r>
        <w:t xml:space="preserve"> </w:t>
      </w:r>
      <w:r>
        <w:t xml:space="preserve">“Individual</w:t>
      </w:r>
      <w:r>
        <w:t xml:space="preserve"> </w:t>
      </w:r>
      <w:r>
        <w:t xml:space="preserve">Human Brain Areas Can Be Identified</w:t>
      </w:r>
      <w:r>
        <w:t xml:space="preserve"> </w:t>
      </w:r>
      <w:r>
        <w:t xml:space="preserve">from</w:t>
      </w:r>
      <w:r>
        <w:t xml:space="preserve"> </w:t>
      </w:r>
      <w:r>
        <w:t xml:space="preserve">Their Characteristic Spectral Activation Fingerprints</w:t>
      </w:r>
      <w:r>
        <w:t xml:space="preserve">.”</w:t>
      </w:r>
      <w:r>
        <w:t xml:space="preserve"> </w:t>
      </w:r>
      <w:r>
        <w:rPr>
          <w:i/>
          <w:iCs/>
        </w:rPr>
        <w:t xml:space="preserve">PLOS Biology</w:t>
      </w:r>
      <w:r>
        <w:t xml:space="preserve"> </w:t>
      </w:r>
      <w:r>
        <w:t xml:space="preserve">14 (6): e1002498.</w:t>
      </w:r>
      <w:r>
        <w:t xml:space="preserve"> </w:t>
      </w:r>
      <w:hyperlink r:id="rId225">
        <w:r>
          <w:rPr>
            <w:rStyle w:val="Hyperlink"/>
          </w:rPr>
          <w:t xml:space="preserve">https://doi.org/10.1371/journal.pbio.1002498</w:t>
        </w:r>
      </w:hyperlink>
      <w:r>
        <w:t xml:space="preserve">.</w:t>
      </w:r>
    </w:p>
    <w:bookmarkEnd w:id="226"/>
    <w:bookmarkStart w:id="228" w:name="Xe81000231471541f9a2a76e80f30d4a3cc40f3d"/>
    <w:p>
      <w:pPr>
        <w:pStyle w:val="Bibliography"/>
      </w:pPr>
      <w:r>
        <w:t xml:space="preserve">Lai, Margherita, Matteo Demuru, Arjan Hillebrand, and Matteo Fraschini. 2018.</w:t>
      </w:r>
      <w:r>
        <w:t xml:space="preserve"> </w:t>
      </w:r>
      <w:r>
        <w:t xml:space="preserve">“A Comparison Between Scalp- and Source-Reconstructed</w:t>
      </w:r>
      <w:r>
        <w:t xml:space="preserve"> </w:t>
      </w:r>
      <w:r>
        <w:t xml:space="preserve">EEG</w:t>
      </w:r>
      <w:r>
        <w:t xml:space="preserve"> </w:t>
      </w:r>
      <w:r>
        <w:t xml:space="preserve">Networks</w:t>
      </w:r>
      <w:r>
        <w:t xml:space="preserve"> </w:t>
      </w:r>
      <w:r>
        <w:t xml:space="preserve"> </w:t>
      </w:r>
      <w:r>
        <w:t xml:space="preserve">Scientific Reports</w:t>
      </w:r>
      <w:r>
        <w:t xml:space="preserve">.”</w:t>
      </w:r>
      <w:r>
        <w:t xml:space="preserve"> </w:t>
      </w:r>
      <w:r>
        <w:rPr>
          <w:i/>
          <w:iCs/>
        </w:rPr>
        <w:t xml:space="preserve">Scientific Reports</w:t>
      </w:r>
      <w:r>
        <w:t xml:space="preserve"> </w:t>
      </w:r>
      <w:r>
        <w:t xml:space="preserve">8 (1): 12269.</w:t>
      </w:r>
      <w:r>
        <w:t xml:space="preserve"> </w:t>
      </w:r>
      <w:hyperlink r:id="rId227">
        <w:r>
          <w:rPr>
            <w:rStyle w:val="Hyperlink"/>
          </w:rPr>
          <w:t xml:space="preserve">https://doi.org/10.1038/s41598-018-30869-w</w:t>
        </w:r>
      </w:hyperlink>
      <w:r>
        <w:t xml:space="preserve">.</w:t>
      </w:r>
    </w:p>
    <w:bookmarkEnd w:id="228"/>
    <w:bookmarkStart w:id="230" w:name="ref-liu2018DetectingLargeScaleBrain"/>
    <w:p>
      <w:pPr>
        <w:pStyle w:val="Bibliography"/>
      </w:pPr>
      <w:r>
        <w:t xml:space="preserve">Liu, Quanying, Marco Ganzetti, Nicole Wenderoth, and Dante Mantini. 2018.</w:t>
      </w:r>
      <w:r>
        <w:t xml:space="preserve"> </w:t>
      </w:r>
      <w:r>
        <w:t xml:space="preserve">“Detecting</w:t>
      </w:r>
      <w:r>
        <w:t xml:space="preserve"> </w:t>
      </w:r>
      <w:r>
        <w:t xml:space="preserve">Large-Scale Brain Networks Using EEG</w:t>
      </w:r>
      <w:r>
        <w:t xml:space="preserve">:</w:t>
      </w:r>
      <w:r>
        <w:t xml:space="preserve"> </w:t>
      </w:r>
      <w:r>
        <w:t xml:space="preserve">Impact</w:t>
      </w:r>
      <w:r>
        <w:t xml:space="preserve"> </w:t>
      </w:r>
      <w:r>
        <w:t xml:space="preserve">of</w:t>
      </w:r>
      <w:r>
        <w:t xml:space="preserve"> </w:t>
      </w:r>
      <w:r>
        <w:t xml:space="preserve">Electrode Density</w:t>
      </w:r>
      <w:r>
        <w:t xml:space="preserve">,</w:t>
      </w:r>
      <w:r>
        <w:t xml:space="preserve"> </w:t>
      </w:r>
      <w:r>
        <w:t xml:space="preserve">Head Modeling</w:t>
      </w:r>
      <w:r>
        <w:t xml:space="preserve"> </w:t>
      </w:r>
      <w:r>
        <w:t xml:space="preserve">and</w:t>
      </w:r>
      <w:r>
        <w:t xml:space="preserve"> </w:t>
      </w:r>
      <w:r>
        <w:t xml:space="preserve">Source Localization</w:t>
      </w:r>
      <w:r>
        <w:t xml:space="preserve">.”</w:t>
      </w:r>
      <w:r>
        <w:t xml:space="preserve"> </w:t>
      </w:r>
      <w:r>
        <w:rPr>
          <w:i/>
          <w:iCs/>
        </w:rPr>
        <w:t xml:space="preserve">Frontiers in Neuroinformatics</w:t>
      </w:r>
      <w:r>
        <w:t xml:space="preserve"> </w:t>
      </w:r>
      <w:r>
        <w:t xml:space="preserve">12 (March): 4.</w:t>
      </w:r>
      <w:r>
        <w:t xml:space="preserve"> </w:t>
      </w:r>
      <w:hyperlink r:id="rId229">
        <w:r>
          <w:rPr>
            <w:rStyle w:val="Hyperlink"/>
          </w:rPr>
          <w:t xml:space="preserve">https://doi.org/10.3389/fninf.2018.00004</w:t>
        </w:r>
      </w:hyperlink>
      <w:r>
        <w:t xml:space="preserve">.</w:t>
      </w:r>
    </w:p>
    <w:bookmarkEnd w:id="230"/>
    <w:bookmarkStart w:id="232" w:name="ref-mahjoory2020FrequencyGradientHuman"/>
    <w:p>
      <w:pPr>
        <w:pStyle w:val="Bibliography"/>
      </w:pPr>
      <w:r>
        <w:t xml:space="preserve">Mahjoory, Keyvan, Jan-Mathijs Schoffelen, Anne Keitel, and Joachim Gross. 2020.</w:t>
      </w:r>
      <w:r>
        <w:t xml:space="preserve"> </w:t>
      </w:r>
      <w:r>
        <w:t xml:space="preserve">“The Frequency Gradient of Human Resting-State Brain Oscillations Follows Cortical Hierarchies.”</w:t>
      </w:r>
      <w:r>
        <w:t xml:space="preserve"> </w:t>
      </w:r>
      <w:r>
        <w:rPr>
          <w:i/>
          <w:iCs/>
        </w:rPr>
        <w:t xml:space="preserve">eLife</w:t>
      </w:r>
      <w:r>
        <w:t xml:space="preserve"> </w:t>
      </w:r>
      <w:r>
        <w:t xml:space="preserve">9 (August): e53715.</w:t>
      </w:r>
      <w:r>
        <w:t xml:space="preserve"> </w:t>
      </w:r>
      <w:hyperlink r:id="rId231">
        <w:r>
          <w:rPr>
            <w:rStyle w:val="Hyperlink"/>
          </w:rPr>
          <w:t xml:space="preserve">https://doi.org/10.7554/eLife.53715</w:t>
        </w:r>
      </w:hyperlink>
      <w:r>
        <w:t xml:space="preserve">.</w:t>
      </w:r>
    </w:p>
    <w:bookmarkEnd w:id="232"/>
    <w:bookmarkStart w:id="234" w:name="ref-mellem2017IntrinsicFrequencyBiases"/>
    <w:p>
      <w:pPr>
        <w:pStyle w:val="Bibliography"/>
      </w:pPr>
      <w:r>
        <w:t xml:space="preserve">Mellem, Monika S., Sophie Wohltjen, Stephen J. Gotts, Avniel Singh Ghuman, and Alex Martin. 2017.</w:t>
      </w:r>
      <w:r>
        <w:t xml:space="preserve"> </w:t>
      </w:r>
      <w:r>
        <w:t xml:space="preserve">“Intrinsic Frequency Biases and Profiles Across Human Cortex.”</w:t>
      </w:r>
      <w:r>
        <w:t xml:space="preserve"> </w:t>
      </w:r>
      <w:r>
        <w:rPr>
          <w:i/>
          <w:iCs/>
        </w:rPr>
        <w:t xml:space="preserve">Journal of Neurophysiology</w:t>
      </w:r>
      <w:r>
        <w:t xml:space="preserve"> </w:t>
      </w:r>
      <w:r>
        <w:t xml:space="preserve">118 (5): 2853–64.</w:t>
      </w:r>
      <w:r>
        <w:t xml:space="preserve"> </w:t>
      </w:r>
      <w:hyperlink r:id="rId233">
        <w:r>
          <w:rPr>
            <w:rStyle w:val="Hyperlink"/>
          </w:rPr>
          <w:t xml:space="preserve">https://doi.org/10.1152/jn.00061.2017</w:t>
        </w:r>
      </w:hyperlink>
      <w:r>
        <w:t xml:space="preserve">.</w:t>
      </w:r>
    </w:p>
    <w:bookmarkEnd w:id="234"/>
    <w:bookmarkStart w:id="236" w:name="ref-niso2019BrainstormPipelineAnalysis"/>
    <w:p>
      <w:pPr>
        <w:pStyle w:val="Bibliography"/>
      </w:pPr>
      <w:r>
        <w:t xml:space="preserve">Niso, Guiomar, Francois Tadel, Elizabeth Bock, Martin Cousineau, Andrés Santos, and Sylvain Baillet. 2019.</w:t>
      </w:r>
      <w:r>
        <w:t xml:space="preserve"> </w:t>
      </w:r>
      <w:r>
        <w:t xml:space="preserve">“Brainstorm</w:t>
      </w:r>
      <w:r>
        <w:t xml:space="preserve"> </w:t>
      </w:r>
      <w:r>
        <w:t xml:space="preserve">Pipeline Analysis</w:t>
      </w:r>
      <w:r>
        <w:t xml:space="preserve"> </w:t>
      </w:r>
      <w:r>
        <w:t xml:space="preserve">of</w:t>
      </w:r>
      <w:r>
        <w:t xml:space="preserve"> </w:t>
      </w:r>
      <w:r>
        <w:t xml:space="preserve">Resting-State Data From</w:t>
      </w:r>
      <w:r>
        <w:t xml:space="preserve"> </w:t>
      </w:r>
      <w:r>
        <w:t xml:space="preserve">the</w:t>
      </w:r>
      <w:r>
        <w:t xml:space="preserve"> </w:t>
      </w:r>
      <w:r>
        <w:t xml:space="preserve">Open MEG Archive</w:t>
      </w:r>
      <w:r>
        <w:t xml:space="preserve">.”</w:t>
      </w:r>
      <w:r>
        <w:t xml:space="preserve"> </w:t>
      </w:r>
      <w:r>
        <w:rPr>
          <w:i/>
          <w:iCs/>
        </w:rPr>
        <w:t xml:space="preserve">Frontiers in Neuroscience</w:t>
      </w:r>
      <w:r>
        <w:t xml:space="preserve"> </w:t>
      </w:r>
      <w:r>
        <w:t xml:space="preserve">13 (April).</w:t>
      </w:r>
      <w:r>
        <w:t xml:space="preserve"> </w:t>
      </w:r>
      <w:hyperlink r:id="rId235">
        <w:r>
          <w:rPr>
            <w:rStyle w:val="Hyperlink"/>
          </w:rPr>
          <w:t xml:space="preserve">https://doi.org/10.3389/fnins.2019.00284</w:t>
        </w:r>
      </w:hyperlink>
      <w:r>
        <w:t xml:space="preserve">.</w:t>
      </w:r>
    </w:p>
    <w:bookmarkEnd w:id="236"/>
    <w:bookmarkStart w:id="238" w:name="X67e5065d83e2b959a3de30545d15d45a98f82f7"/>
    <w:p>
      <w:pPr>
        <w:pStyle w:val="Bibliography"/>
      </w:pPr>
      <w:r>
        <w:t xml:space="preserve">Pascual-Marqui, Roberto, D. Lehmann, Martha Koukkou, et al. 2011.</w:t>
      </w:r>
      <w:r>
        <w:t xml:space="preserve"> </w:t>
      </w:r>
      <w:r>
        <w:t xml:space="preserve">“Assessing Interactions in the Brain with Exact Low Resolution Electromagnetic Tomography (</w:t>
      </w:r>
      <w:r>
        <w:t xml:space="preserve">eLORETA</w:t>
      </w:r>
      <w:r>
        <w:t xml:space="preserve">).”</w:t>
      </w:r>
      <w:r>
        <w:t xml:space="preserve"> </w:t>
      </w:r>
      <w:r>
        <w:rPr>
          <w:i/>
          <w:iCs/>
        </w:rPr>
        <w:t xml:space="preserve">Philosophical Transactions. Series A, Mathematical, Physical, and Engineering Sciences</w:t>
      </w:r>
      <w:r>
        <w:t xml:space="preserve"> </w:t>
      </w:r>
      <w:r>
        <w:t xml:space="preserve">369 (October): 3768–84.</w:t>
      </w:r>
      <w:r>
        <w:t xml:space="preserve"> </w:t>
      </w:r>
      <w:hyperlink r:id="rId237">
        <w:r>
          <w:rPr>
            <w:rStyle w:val="Hyperlink"/>
          </w:rPr>
          <w:t xml:space="preserve">https://doi.org/10.1098/rsta.2011.0081</w:t>
        </w:r>
      </w:hyperlink>
      <w:r>
        <w:t xml:space="preserve">.</w:t>
      </w:r>
    </w:p>
    <w:bookmarkEnd w:id="238"/>
    <w:bookmarkStart w:id="240" w:name="X2d4584c5f11fde2cc9afcc49e7fb56ea38cc3c2"/>
    <w:p>
      <w:pPr>
        <w:pStyle w:val="Bibliography"/>
      </w:pPr>
      <w:r>
        <w:t xml:space="preserve">Piastra, Maria Carla, Andreas Nüßing, Johannes Vorwerk, Maureen Clerc, Christian Engwer, and Carsten H. Wolters. 2020.</w:t>
      </w:r>
      <w:r>
        <w:t xml:space="preserve"> </w:t>
      </w:r>
      <w:r>
        <w:t xml:space="preserve">“A Comprehensive Study on Electroencephalography and Magnetoencephalography Sensitivity to Cortical and Subcortical Sources.”</w:t>
      </w:r>
      <w:r>
        <w:t xml:space="preserve"> </w:t>
      </w:r>
      <w:r>
        <w:rPr>
          <w:i/>
          <w:iCs/>
        </w:rPr>
        <w:t xml:space="preserve">Human Brain Mapping</w:t>
      </w:r>
      <w:r>
        <w:t xml:space="preserve"> </w:t>
      </w:r>
      <w:r>
        <w:t xml:space="preserve">42 (4): 978–92.</w:t>
      </w:r>
      <w:r>
        <w:t xml:space="preserve"> </w:t>
      </w:r>
      <w:hyperlink r:id="rId239">
        <w:r>
          <w:rPr>
            <w:rStyle w:val="Hyperlink"/>
          </w:rPr>
          <w:t xml:space="preserve">https://doi.org/10.1002/hbm.25272</w:t>
        </w:r>
      </w:hyperlink>
      <w:r>
        <w:t xml:space="preserve">.</w:t>
      </w:r>
    </w:p>
    <w:bookmarkEnd w:id="240"/>
    <w:bookmarkStart w:id="242" w:name="Xbbca018acfaaa09f7e01b2e1d161c62ca631301"/>
    <w:p>
      <w:pPr>
        <w:pStyle w:val="Bibliography"/>
      </w:pPr>
      <w:r>
        <w:t xml:space="preserve">Samogin, Jessica, Quanying Liu, Marco Marino, Nicole Wenderoth, and Dante Mantini. 2019.</w:t>
      </w:r>
      <w:r>
        <w:t xml:space="preserve"> </w:t>
      </w:r>
      <w:r>
        <w:t xml:space="preserve">“Shared and Connection-Specific Intrinsic Interactions in the Default Mode Network.”</w:t>
      </w:r>
      <w:r>
        <w:t xml:space="preserve"> </w:t>
      </w:r>
      <w:r>
        <w:rPr>
          <w:i/>
          <w:iCs/>
        </w:rPr>
        <w:t xml:space="preserve">NeuroImage</w:t>
      </w:r>
      <w:r>
        <w:t xml:space="preserve"> </w:t>
      </w:r>
      <w:r>
        <w:t xml:space="preserve">200 (October): 474–81.</w:t>
      </w:r>
      <w:r>
        <w:t xml:space="preserve"> </w:t>
      </w:r>
      <w:hyperlink r:id="rId241">
        <w:r>
          <w:rPr>
            <w:rStyle w:val="Hyperlink"/>
          </w:rPr>
          <w:t xml:space="preserve">https://doi.org/10.1016/j.neuroimage.2019.07.007</w:t>
        </w:r>
      </w:hyperlink>
      <w:r>
        <w:t xml:space="preserve">.</w:t>
      </w:r>
    </w:p>
    <w:bookmarkEnd w:id="242"/>
    <w:bookmarkStart w:id="244" w:name="X1b4bbad404cdae395979e2a6477fa39dac43831"/>
    <w:p>
      <w:pPr>
        <w:pStyle w:val="Bibliography"/>
      </w:pPr>
      <w:r>
        <w:t xml:space="preserve">Samogin, Jessica, Marco Marino, Camillo Porcaro, et al. 2020.</w:t>
      </w:r>
      <w:r>
        <w:t xml:space="preserve"> </w:t>
      </w:r>
      <w:r>
        <w:t xml:space="preserve">“Frequency-Dependent Functional Connectivity in Resting State Networks.”</w:t>
      </w:r>
      <w:r>
        <w:t xml:space="preserve"> </w:t>
      </w:r>
      <w:r>
        <w:rPr>
          <w:i/>
          <w:iCs/>
        </w:rPr>
        <w:t xml:space="preserve">Human Brain Mapping</w:t>
      </w:r>
      <w:r>
        <w:t xml:space="preserve"> </w:t>
      </w:r>
      <w:r>
        <w:t xml:space="preserve">41 (18): 5187–98.</w:t>
      </w:r>
      <w:r>
        <w:t xml:space="preserve"> </w:t>
      </w:r>
      <w:hyperlink r:id="rId243">
        <w:r>
          <w:rPr>
            <w:rStyle w:val="Hyperlink"/>
          </w:rPr>
          <w:t xml:space="preserve">https://doi.org/10.1002/hbm.25184</w:t>
        </w:r>
      </w:hyperlink>
      <w:r>
        <w:t xml:space="preserve">.</w:t>
      </w:r>
    </w:p>
    <w:bookmarkEnd w:id="244"/>
    <w:bookmarkStart w:id="246" w:name="Xdf77bc63229b481770ddbf6613e92303bd2f04c"/>
    <w:p>
      <w:pPr>
        <w:pStyle w:val="Bibliography"/>
      </w:pPr>
      <w:r>
        <w:t xml:space="preserve">Shafiei, Golia, Ben D. Fulcher, Bradley Voytek, Theodore D. Satterthwaite, Sylvain Baillet, and Bratislav Misic. 2023.</w:t>
      </w:r>
      <w:r>
        <w:t xml:space="preserve"> </w:t>
      </w:r>
      <w:r>
        <w:t xml:space="preserve">“Neurophysiological Signatures of Cortical Micro-Architecture.”</w:t>
      </w:r>
      <w:r>
        <w:t xml:space="preserve"> </w:t>
      </w:r>
      <w:r>
        <w:rPr>
          <w:i/>
          <w:iCs/>
        </w:rPr>
        <w:t xml:space="preserve">Nature Communications</w:t>
      </w:r>
      <w:r>
        <w:t xml:space="preserve"> </w:t>
      </w:r>
      <w:r>
        <w:t xml:space="preserve">14 (1): 6000.</w:t>
      </w:r>
      <w:r>
        <w:t xml:space="preserve"> </w:t>
      </w:r>
      <w:hyperlink r:id="rId245">
        <w:r>
          <w:rPr>
            <w:rStyle w:val="Hyperlink"/>
          </w:rPr>
          <w:t xml:space="preserve">https://doi.org/10.1038/s41467-023-41689-6</w:t>
        </w:r>
      </w:hyperlink>
      <w:r>
        <w:t xml:space="preserve">.</w:t>
      </w:r>
    </w:p>
    <w:bookmarkEnd w:id="246"/>
    <w:bookmarkStart w:id="248" w:name="X220496bcf36b86e8c132e6984d7870971197058"/>
    <w:p>
      <w:pPr>
        <w:pStyle w:val="Bibliography"/>
      </w:pPr>
      <w:r>
        <w:t xml:space="preserve">Steegen, Sara, Francis Tuerlinckx, Andrew Gelman, and Wolf Vanpaemel. 2016.</w:t>
      </w:r>
      <w:r>
        <w:t xml:space="preserve"> </w:t>
      </w:r>
      <w:r>
        <w:t xml:space="preserve">“Increasing</w:t>
      </w:r>
      <w:r>
        <w:t xml:space="preserve"> </w:t>
      </w:r>
      <w:r>
        <w:t xml:space="preserve">Transparency Through</w:t>
      </w:r>
      <w:r>
        <w:t xml:space="preserve"> </w:t>
      </w:r>
      <w:r>
        <w:t xml:space="preserve">a</w:t>
      </w:r>
      <w:r>
        <w:t xml:space="preserve"> </w:t>
      </w:r>
      <w:r>
        <w:t xml:space="preserve">Multiverse Analysis</w:t>
      </w:r>
      <w:r>
        <w:t xml:space="preserve">.”</w:t>
      </w:r>
      <w:r>
        <w:t xml:space="preserve"> </w:t>
      </w:r>
      <w:r>
        <w:rPr>
          <w:i/>
          <w:iCs/>
        </w:rPr>
        <w:t xml:space="preserve">Perspectives on Psychological Science</w:t>
      </w:r>
      <w:r>
        <w:t xml:space="preserve"> </w:t>
      </w:r>
      <w:r>
        <w:t xml:space="preserve">11 (5): 702–12.</w:t>
      </w:r>
      <w:r>
        <w:t xml:space="preserve"> </w:t>
      </w:r>
      <w:hyperlink r:id="rId247">
        <w:r>
          <w:rPr>
            <w:rStyle w:val="Hyperlink"/>
          </w:rPr>
          <w:t xml:space="preserve">https://doi.org/10.1177/1745691616658637</w:t>
        </w:r>
      </w:hyperlink>
      <w:r>
        <w:t xml:space="preserve">.</w:t>
      </w:r>
    </w:p>
    <w:bookmarkEnd w:id="248"/>
    <w:bookmarkStart w:id="250" w:name="ref-tait2021SystematicEvaluationSource"/>
    <w:p>
      <w:pPr>
        <w:pStyle w:val="Bibliography"/>
      </w:pPr>
      <w:r>
        <w:t xml:space="preserve">Tait, Luke, Ayşegül Özkan, Maciej J. Szul, and Jiaxiang Zhang. 2021.</w:t>
      </w:r>
      <w:r>
        <w:t xml:space="preserve"> </w:t>
      </w:r>
      <w:r>
        <w:t xml:space="preserve">“A Systematic Evaluation of Source Reconstruction of Resting</w:t>
      </w:r>
      <w:r>
        <w:t xml:space="preserve"> </w:t>
      </w:r>
      <w:r>
        <w:t xml:space="preserve">MEG</w:t>
      </w:r>
      <w:r>
        <w:t xml:space="preserve"> </w:t>
      </w:r>
      <w:r>
        <w:t xml:space="preserve">of the Human Brain with a New High-Resolution Atlas:</w:t>
      </w:r>
      <w:r>
        <w:t xml:space="preserve"> </w:t>
      </w:r>
      <w:r>
        <w:t xml:space="preserve">Performance</w:t>
      </w:r>
      <w:r>
        <w:t xml:space="preserve">, Precision, and Parcellation.”</w:t>
      </w:r>
      <w:r>
        <w:t xml:space="preserve"> </w:t>
      </w:r>
      <w:r>
        <w:rPr>
          <w:i/>
          <w:iCs/>
        </w:rPr>
        <w:t xml:space="preserve">Human Brain Mapping</w:t>
      </w:r>
      <w:r>
        <w:t xml:space="preserve"> </w:t>
      </w:r>
      <w:r>
        <w:t xml:space="preserve">42 (14): 4685–707.</w:t>
      </w:r>
      <w:r>
        <w:t xml:space="preserve"> </w:t>
      </w:r>
      <w:hyperlink r:id="rId249">
        <w:r>
          <w:rPr>
            <w:rStyle w:val="Hyperlink"/>
          </w:rPr>
          <w:t xml:space="preserve">https://doi.org/10.1002/hbm.25578</w:t>
        </w:r>
      </w:hyperlink>
      <w:r>
        <w:t xml:space="preserve">.</w:t>
      </w:r>
    </w:p>
    <w:bookmarkEnd w:id="250"/>
    <w:bookmarkStart w:id="252" w:name="ref-wen2016SeparatingFractalOscillatory"/>
    <w:p>
      <w:pPr>
        <w:pStyle w:val="Bibliography"/>
      </w:pPr>
      <w:r>
        <w:t xml:space="preserve">Wen, Haiguang, and Zhongming Liu. 2016.</w:t>
      </w:r>
      <w:r>
        <w:t xml:space="preserve"> </w:t>
      </w:r>
      <w:r>
        <w:t xml:space="preserve">“Separating</w:t>
      </w:r>
      <w:r>
        <w:t xml:space="preserve"> </w:t>
      </w:r>
      <w:r>
        <w:t xml:space="preserve">Fractal</w:t>
      </w:r>
      <w:r>
        <w:t xml:space="preserve"> </w:t>
      </w:r>
      <w:r>
        <w:t xml:space="preserve">and</w:t>
      </w:r>
      <w:r>
        <w:t xml:space="preserve"> </w:t>
      </w:r>
      <w:r>
        <w:t xml:space="preserve">Oscillatory Components</w:t>
      </w:r>
      <w:r>
        <w:t xml:space="preserve"> </w:t>
      </w:r>
      <w:r>
        <w:t xml:space="preserve">in the</w:t>
      </w:r>
      <w:r>
        <w:t xml:space="preserve"> </w:t>
      </w:r>
      <w:r>
        <w:t xml:space="preserve">Power Spectrum</w:t>
      </w:r>
      <w:r>
        <w:t xml:space="preserve"> </w:t>
      </w:r>
      <w:r>
        <w:t xml:space="preserve">of</w:t>
      </w:r>
      <w:r>
        <w:t xml:space="preserve"> </w:t>
      </w:r>
      <w:r>
        <w:t xml:space="preserve">Neurophysiological Signal</w:t>
      </w:r>
      <w:r>
        <w:t xml:space="preserve">.”</w:t>
      </w:r>
      <w:r>
        <w:t xml:space="preserve"> </w:t>
      </w:r>
      <w:r>
        <w:rPr>
          <w:i/>
          <w:iCs/>
        </w:rPr>
        <w:t xml:space="preserve">Brain Topography</w:t>
      </w:r>
      <w:r>
        <w:t xml:space="preserve"> </w:t>
      </w:r>
      <w:r>
        <w:t xml:space="preserve">29 (1): 13–26.</w:t>
      </w:r>
      <w:r>
        <w:t xml:space="preserve"> </w:t>
      </w:r>
      <w:hyperlink r:id="rId251">
        <w:r>
          <w:rPr>
            <w:rStyle w:val="Hyperlink"/>
          </w:rPr>
          <w:t xml:space="preserve">https://doi.org/10.1007/s10548-015-0448-0</w:t>
        </w:r>
      </w:hyperlink>
      <w:r>
        <w:t xml:space="preserve">.</w:t>
      </w:r>
    </w:p>
    <w:bookmarkEnd w:id="252"/>
    <w:bookmarkEnd w:id="253"/>
    <w:bookmarkEnd w:id="2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df" /><Relationship Type="http://schemas.openxmlformats.org/officeDocument/2006/relationships/image" Id="rId49" Target="media/rId49.pdf" /><Relationship Type="http://schemas.openxmlformats.org/officeDocument/2006/relationships/image" Id="rId45" Target="media/rId45.pdf" /><Relationship Type="http://schemas.openxmlformats.org/officeDocument/2006/relationships/image" Id="rId11" Target="media/rId11.svg" /><Relationship Type="http://schemas.openxmlformats.org/officeDocument/2006/relationships/image" Id="rId28" Target="media/rId28.svg" /><Relationship Type="http://schemas.openxmlformats.org/officeDocument/2006/relationships/image" Id="rId24" Target="media/rId24.svg" /><Relationship Type="http://schemas.openxmlformats.org/officeDocument/2006/relationships/image" Id="rId16" Target="media/rId16.png" /><Relationship Type="http://schemas.openxmlformats.org/officeDocument/2006/relationships/image" Id="rId165" Target="media/rId165.svg" /><Relationship Type="http://schemas.openxmlformats.org/officeDocument/2006/relationships/image" Id="rId169" Target="media/rId169.svg" /><Relationship Type="http://schemas.openxmlformats.org/officeDocument/2006/relationships/image" Id="rId161" Target="media/rId161.svg" /><Relationship Type="http://schemas.openxmlformats.org/officeDocument/2006/relationships/image" Id="rId156" Target="media/rId156.svg" /><Relationship Type="http://schemas.openxmlformats.org/officeDocument/2006/relationships/image" Id="rId174" Target="media/rId174.svg" /><Relationship Type="http://schemas.openxmlformats.org/officeDocument/2006/relationships/image" Id="rId121" Target="media/rId121.pdf" /><Relationship Type="http://schemas.openxmlformats.org/officeDocument/2006/relationships/image" Id="rId111" Target="media/rId111.pdf" /><Relationship Type="http://schemas.openxmlformats.org/officeDocument/2006/relationships/image" Id="rId107" Target="media/rId107.pdf" /><Relationship Type="http://schemas.openxmlformats.org/officeDocument/2006/relationships/image" Id="rId150" Target="media/rId150.pdf" /><Relationship Type="http://schemas.openxmlformats.org/officeDocument/2006/relationships/image" Id="rId117" Target="media/rId117.pdf" /><Relationship Type="http://schemas.openxmlformats.org/officeDocument/2006/relationships/image" Id="rId146" Target="media/rId146.pdf" /><Relationship Type="http://schemas.openxmlformats.org/officeDocument/2006/relationships/image" Id="rId142" Target="media/rId142.pdf" /><Relationship Type="http://schemas.openxmlformats.org/officeDocument/2006/relationships/image" Id="rId138" Target="media/rId138.pdf" /><Relationship Type="http://schemas.openxmlformats.org/officeDocument/2006/relationships/image" Id="rId129" Target="media/rId129.pdf" /><Relationship Type="http://schemas.openxmlformats.org/officeDocument/2006/relationships/image" Id="rId133" Target="media/rId133.pdf" /><Relationship Type="http://schemas.openxmlformats.org/officeDocument/2006/relationships/image" Id="rId125" Target="media/rId125.pdf" /><Relationship Type="http://schemas.openxmlformats.org/officeDocument/2006/relationships/image" Id="rId73" Target="media/rId73.pdf" /><Relationship Type="http://schemas.openxmlformats.org/officeDocument/2006/relationships/image" Id="rId97" Target="media/rId97.pdf" /><Relationship Type="http://schemas.openxmlformats.org/officeDocument/2006/relationships/image" Id="rId102" Target="media/rId102.pdf" /><Relationship Type="http://schemas.openxmlformats.org/officeDocument/2006/relationships/image" Id="rId77" Target="media/rId77.pdf" /><Relationship Type="http://schemas.openxmlformats.org/officeDocument/2006/relationships/image" Id="rId88" Target="media/rId88.pdf" /><Relationship Type="http://schemas.openxmlformats.org/officeDocument/2006/relationships/image" Id="rId64" Target="media/rId64.pdf" /><Relationship Type="http://schemas.openxmlformats.org/officeDocument/2006/relationships/image" Id="rId84" Target="media/rId84.pdf" /><Relationship Type="http://schemas.openxmlformats.org/officeDocument/2006/relationships/image" Id="rId60" Target="media/rId60.pdf" /><Relationship Type="http://schemas.openxmlformats.org/officeDocument/2006/relationships/image" Id="rId93" Target="media/rId93.pdf" /><Relationship Type="http://schemas.openxmlformats.org/officeDocument/2006/relationships/image" Id="rId69" Target="media/rId69.pdf" /><Relationship Type="http://schemas.openxmlformats.org/officeDocument/2006/relationships/hyperlink" Id="rId243" Target="https://doi.org/10.1002/hbm.25184" TargetMode="External" /><Relationship Type="http://schemas.openxmlformats.org/officeDocument/2006/relationships/hyperlink" Id="rId239" Target="https://doi.org/10.1002/hbm.25272" TargetMode="External" /><Relationship Type="http://schemas.openxmlformats.org/officeDocument/2006/relationships/hyperlink" Id="rId249" Target="https://doi.org/10.1002/hbm.25578" TargetMode="External" /><Relationship Type="http://schemas.openxmlformats.org/officeDocument/2006/relationships/hyperlink" Id="rId208" Target="https://doi.org/10.1007/s10072-025-08207-6" TargetMode="External" /><Relationship Type="http://schemas.openxmlformats.org/officeDocument/2006/relationships/hyperlink" Id="rId251" Target="https://doi.org/10.1007/s10548-015-0448-0" TargetMode="External" /><Relationship Type="http://schemas.openxmlformats.org/officeDocument/2006/relationships/hyperlink" Id="rId212" Target="https://doi.org/10.1007/s11004-008-9196-y" TargetMode="External" /><Relationship Type="http://schemas.openxmlformats.org/officeDocument/2006/relationships/hyperlink" Id="rId217" Target="https://doi.org/10.1007/s12021-022-09581-8" TargetMode="External" /><Relationship Type="http://schemas.openxmlformats.org/officeDocument/2006/relationships/hyperlink" Id="rId223" Target="https://doi.org/10.1016/j.compbiomed.2025.111080" TargetMode="External" /><Relationship Type="http://schemas.openxmlformats.org/officeDocument/2006/relationships/hyperlink" Id="rId195" Target="https://doi.org/10.1016/j.neuroimage.2009.02.028" TargetMode="External" /><Relationship Type="http://schemas.openxmlformats.org/officeDocument/2006/relationships/hyperlink" Id="rId219" Target="https://doi.org/10.1016/j.neuroimage.2013.04.044" TargetMode="External" /><Relationship Type="http://schemas.openxmlformats.org/officeDocument/2006/relationships/hyperlink" Id="rId241" Target="https://doi.org/10.1016/j.neuroimage.2019.07.007" TargetMode="External" /><Relationship Type="http://schemas.openxmlformats.org/officeDocument/2006/relationships/hyperlink" Id="rId191" Target="https://doi.org/10.1016/j.neuroimage.2023.120158" TargetMode="External" /><Relationship Type="http://schemas.openxmlformats.org/officeDocument/2006/relationships/hyperlink" Id="rId204" Target="https://doi.org/10.1038/nrn3241" TargetMode="External" /><Relationship Type="http://schemas.openxmlformats.org/officeDocument/2006/relationships/hyperlink" Id="rId245" Target="https://doi.org/10.1038/s41467-023-41689-6" TargetMode="External" /><Relationship Type="http://schemas.openxmlformats.org/officeDocument/2006/relationships/hyperlink" Id="rId202" Target="https://doi.org/10.1038/s41467-024-45922-8" TargetMode="External" /><Relationship Type="http://schemas.openxmlformats.org/officeDocument/2006/relationships/hyperlink" Id="rId210" Target="https://doi.org/10.1038/s41593-020-00744-x" TargetMode="External" /><Relationship Type="http://schemas.openxmlformats.org/officeDocument/2006/relationships/hyperlink" Id="rId227" Target="https://doi.org/10.1038/s41598-018-30869-w" TargetMode="External" /><Relationship Type="http://schemas.openxmlformats.org/officeDocument/2006/relationships/hyperlink" Id="rId221" Target="https://doi.org/10.1038/s41598-023-39700-7" TargetMode="External" /><Relationship Type="http://schemas.openxmlformats.org/officeDocument/2006/relationships/hyperlink" Id="rId193" Target="https://doi.org/10.1038/s44271-025-00334-2" TargetMode="External" /><Relationship Type="http://schemas.openxmlformats.org/officeDocument/2006/relationships/hyperlink" Id="rId214" Target="https://doi.org/10.1093/brain/awy035" TargetMode="External" /><Relationship Type="http://schemas.openxmlformats.org/officeDocument/2006/relationships/hyperlink" Id="rId237" Target="https://doi.org/10.1098/rsta.2011.0081" TargetMode="External" /><Relationship Type="http://schemas.openxmlformats.org/officeDocument/2006/relationships/hyperlink" Id="rId206" Target="https://doi.org/10.1101/2025.09.24.678322" TargetMode="External" /><Relationship Type="http://schemas.openxmlformats.org/officeDocument/2006/relationships/hyperlink" Id="rId200" Target="https://doi.org/10.1109/TNSRE.2025.3649641" TargetMode="External" /><Relationship Type="http://schemas.openxmlformats.org/officeDocument/2006/relationships/hyperlink" Id="rId233" Target="https://doi.org/10.1152/jn.00061.2017" TargetMode="External" /><Relationship Type="http://schemas.openxmlformats.org/officeDocument/2006/relationships/hyperlink" Id="rId247" Target="https://doi.org/10.1177/1745691616658637" TargetMode="External" /><Relationship Type="http://schemas.openxmlformats.org/officeDocument/2006/relationships/hyperlink" Id="rId225" Target="https://doi.org/10.1371/journal.pbio.1002498" TargetMode="External" /><Relationship Type="http://schemas.openxmlformats.org/officeDocument/2006/relationships/hyperlink" Id="rId229" Target="https://doi.org/10.3389/fninf.2018.00004" TargetMode="External" /><Relationship Type="http://schemas.openxmlformats.org/officeDocument/2006/relationships/hyperlink" Id="rId235" Target="https://doi.org/10.3389/fnins.2019.00284" TargetMode="External" /><Relationship Type="http://schemas.openxmlformats.org/officeDocument/2006/relationships/hyperlink" Id="rId198" Target="https://doi.org/10.64898/2026.06.12.718232" TargetMode="External" /><Relationship Type="http://schemas.openxmlformats.org/officeDocument/2006/relationships/hyperlink" Id="rId231" Target="https://doi.org/10.7554/eLife.53715" TargetMode="External" /></Relationships>
</file>

<file path=word/_rels/footnotes.xml.rels><?xml version="1.0" encoding="UTF-8"?><Relationships xmlns="http://schemas.openxmlformats.org/package/2006/relationships"><Relationship Type="http://schemas.openxmlformats.org/officeDocument/2006/relationships/hyperlink" Id="rId243" Target="https://doi.org/10.1002/hbm.25184" TargetMode="External" /><Relationship Type="http://schemas.openxmlformats.org/officeDocument/2006/relationships/hyperlink" Id="rId239" Target="https://doi.org/10.1002/hbm.25272" TargetMode="External" /><Relationship Type="http://schemas.openxmlformats.org/officeDocument/2006/relationships/hyperlink" Id="rId249" Target="https://doi.org/10.1002/hbm.25578" TargetMode="External" /><Relationship Type="http://schemas.openxmlformats.org/officeDocument/2006/relationships/hyperlink" Id="rId208" Target="https://doi.org/10.1007/s10072-025-08207-6" TargetMode="External" /><Relationship Type="http://schemas.openxmlformats.org/officeDocument/2006/relationships/hyperlink" Id="rId251" Target="https://doi.org/10.1007/s10548-015-0448-0" TargetMode="External" /><Relationship Type="http://schemas.openxmlformats.org/officeDocument/2006/relationships/hyperlink" Id="rId212" Target="https://doi.org/10.1007/s11004-008-9196-y" TargetMode="External" /><Relationship Type="http://schemas.openxmlformats.org/officeDocument/2006/relationships/hyperlink" Id="rId217" Target="https://doi.org/10.1007/s12021-022-09581-8" TargetMode="External" /><Relationship Type="http://schemas.openxmlformats.org/officeDocument/2006/relationships/hyperlink" Id="rId223" Target="https://doi.org/10.1016/j.compbiomed.2025.111080" TargetMode="External" /><Relationship Type="http://schemas.openxmlformats.org/officeDocument/2006/relationships/hyperlink" Id="rId195" Target="https://doi.org/10.1016/j.neuroimage.2009.02.028" TargetMode="External" /><Relationship Type="http://schemas.openxmlformats.org/officeDocument/2006/relationships/hyperlink" Id="rId219" Target="https://doi.org/10.1016/j.neuroimage.2013.04.044" TargetMode="External" /><Relationship Type="http://schemas.openxmlformats.org/officeDocument/2006/relationships/hyperlink" Id="rId241" Target="https://doi.org/10.1016/j.neuroimage.2019.07.007" TargetMode="External" /><Relationship Type="http://schemas.openxmlformats.org/officeDocument/2006/relationships/hyperlink" Id="rId191" Target="https://doi.org/10.1016/j.neuroimage.2023.120158" TargetMode="External" /><Relationship Type="http://schemas.openxmlformats.org/officeDocument/2006/relationships/hyperlink" Id="rId204" Target="https://doi.org/10.1038/nrn3241" TargetMode="External" /><Relationship Type="http://schemas.openxmlformats.org/officeDocument/2006/relationships/hyperlink" Id="rId245" Target="https://doi.org/10.1038/s41467-023-41689-6" TargetMode="External" /><Relationship Type="http://schemas.openxmlformats.org/officeDocument/2006/relationships/hyperlink" Id="rId202" Target="https://doi.org/10.1038/s41467-024-45922-8" TargetMode="External" /><Relationship Type="http://schemas.openxmlformats.org/officeDocument/2006/relationships/hyperlink" Id="rId210" Target="https://doi.org/10.1038/s41593-020-00744-x" TargetMode="External" /><Relationship Type="http://schemas.openxmlformats.org/officeDocument/2006/relationships/hyperlink" Id="rId227" Target="https://doi.org/10.1038/s41598-018-30869-w" TargetMode="External" /><Relationship Type="http://schemas.openxmlformats.org/officeDocument/2006/relationships/hyperlink" Id="rId221" Target="https://doi.org/10.1038/s41598-023-39700-7" TargetMode="External" /><Relationship Type="http://schemas.openxmlformats.org/officeDocument/2006/relationships/hyperlink" Id="rId193" Target="https://doi.org/10.1038/s44271-025-00334-2" TargetMode="External" /><Relationship Type="http://schemas.openxmlformats.org/officeDocument/2006/relationships/hyperlink" Id="rId214" Target="https://doi.org/10.1093/brain/awy035" TargetMode="External" /><Relationship Type="http://schemas.openxmlformats.org/officeDocument/2006/relationships/hyperlink" Id="rId237" Target="https://doi.org/10.1098/rsta.2011.0081" TargetMode="External" /><Relationship Type="http://schemas.openxmlformats.org/officeDocument/2006/relationships/hyperlink" Id="rId206" Target="https://doi.org/10.1101/2025.09.24.678322" TargetMode="External" /><Relationship Type="http://schemas.openxmlformats.org/officeDocument/2006/relationships/hyperlink" Id="rId200" Target="https://doi.org/10.1109/TNSRE.2025.3649641" TargetMode="External" /><Relationship Type="http://schemas.openxmlformats.org/officeDocument/2006/relationships/hyperlink" Id="rId233" Target="https://doi.org/10.1152/jn.00061.2017" TargetMode="External" /><Relationship Type="http://schemas.openxmlformats.org/officeDocument/2006/relationships/hyperlink" Id="rId247" Target="https://doi.org/10.1177/1745691616658637" TargetMode="External" /><Relationship Type="http://schemas.openxmlformats.org/officeDocument/2006/relationships/hyperlink" Id="rId225" Target="https://doi.org/10.1371/journal.pbio.1002498" TargetMode="External" /><Relationship Type="http://schemas.openxmlformats.org/officeDocument/2006/relationships/hyperlink" Id="rId229" Target="https://doi.org/10.3389/fninf.2018.00004" TargetMode="External" /><Relationship Type="http://schemas.openxmlformats.org/officeDocument/2006/relationships/hyperlink" Id="rId235" Target="https://doi.org/10.3389/fnins.2019.00284" TargetMode="External" /><Relationship Type="http://schemas.openxmlformats.org/officeDocument/2006/relationships/hyperlink" Id="rId198" Target="https://doi.org/10.64898/2026.06.12.718232" TargetMode="External" /><Relationship Type="http://schemas.openxmlformats.org/officeDocument/2006/relationships/hyperlink" Id="rId231" Target="https://doi.org/10.7554/eLife.537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Oscillatory and 1/f Broadband Spectral Features Across Cortical Regions and Recording Modalities</dc:title>
  <dc:creator>Daniel Borek</dc:creator>
  <cp:keywords/>
  <dcterms:created xsi:type="dcterms:W3CDTF">2026-06-23T01:34:17Z</dcterms:created>
  <dcterms:modified xsi:type="dcterms:W3CDTF">2026-06-23T01:34:17Z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2026-06-23</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reference-section-title">
    <vt:lpwstr>References</vt:lpwstr>
  </property>
  <property fmtid="{D5CDD505-2E9C-101B-9397-08002B2CF9AE}" pid="12" name="suppress-bibliography">
    <vt:lpwstr>False</vt:lpwstr>
  </property>
  <property fmtid="{D5CDD505-2E9C-101B-9397-08002B2CF9AE}" pid="13" name="toc-title">
    <vt:lpwstr>Contents</vt:lpwstr>
  </property>
</Properties>
</file>