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3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and</w:t>
      </w:r>
      <w:r>
        <w:t xml:space="preserve"> </w:t>
      </w:r>
      <w:r>
        <w:t xml:space="preserve">its</w:t>
      </w:r>
      <w:r>
        <w:t xml:space="preserve"> </w:t>
      </w:r>
      <w:r>
        <w:t xml:space="preserve">source</w:t>
      </w:r>
      <w:r>
        <w:t xml:space="preserve"> </w:t>
      </w:r>
      <w:r>
        <w:t xml:space="preserve">code</w:t>
      </w:r>
      <w:r>
        <w:t xml:space="preserve"> </w:t>
      </w:r>
      <w:r>
        <w:t xml:space="preserve">(</w:t>
      </w:r>
      <w:r>
        <w:rPr>
          <w:rStyle w:val="VerbatimChar"/>
        </w:rPr>
        <w:t xml:space="preserve">index.qmd</w:t>
      </w:r>
      <w:r>
        <w:t xml:space="preserve">)</w:t>
      </w:r>
      <w:r>
        <w:t xml:space="preserve"> </w:t>
      </w:r>
      <w:r>
        <w:t xml:space="preserve">are</w:t>
      </w:r>
      <w:r>
        <w:t xml:space="preserve"> </w:t>
      </w:r>
      <w:r>
        <w:t xml:space="preserve">both</w:t>
      </w:r>
      <w:r>
        <w:t xml:space="preserve"> </w:t>
      </w:r>
      <w:r>
        <w:t xml:space="preserve">the</w:t>
      </w:r>
      <w:r>
        <w:t xml:space="preserve"> </w:t>
      </w:r>
      <w:r>
        <w:t xml:space="preserve">manual</w:t>
      </w:r>
      <w:r>
        <w:t xml:space="preserve"> </w:t>
      </w:r>
      <w:r>
        <w:t xml:space="preserve">and</w:t>
      </w:r>
      <w:r>
        <w:t xml:space="preserve"> </w:t>
      </w:r>
      <w:r>
        <w:t xml:space="preserve">an</w:t>
      </w:r>
      <w:r>
        <w:t xml:space="preserve"> </w:t>
      </w:r>
      <w:r>
        <w:t xml:space="preserve">example</w:t>
      </w:r>
      <w:r>
        <w:t xml:space="preserve"> </w:t>
      </w:r>
      <w:r>
        <w:t xml:space="preserve">document</w:t>
      </w:r>
      <w:r>
        <w:t xml:space="preserve"> </w:t>
      </w:r>
      <w:r>
        <w:t xml:space="preserve">of</w:t>
      </w:r>
      <w:r>
        <w:t xml:space="preserve"> </w:t>
      </w:r>
      <w:r>
        <w:t xml:space="preserve">the</w:t>
      </w:r>
      <w:r>
        <w:t xml:space="preserve"> </w:t>
      </w:r>
      <w:hyperlink r:id="rId20">
        <w:r>
          <w:rPr>
            <w:rStyle w:val="Hyperlink"/>
          </w:rPr>
          <w:t xml:space="preserve">Quarto</w:t>
        </w:r>
      </w:hyperlink>
      <w:r>
        <w:t xml:space="preserve"> </w:t>
      </w:r>
      <w:r>
        <w:t xml:space="preserve">manuscript</w:t>
      </w:r>
      <w:r>
        <w:t xml:space="preserve"> </w:t>
      </w:r>
      <w:r>
        <w:t xml:space="preserve">extension</w:t>
      </w:r>
      <w:r>
        <w:t xml:space="preserve"> </w:t>
      </w:r>
      <w:r>
        <w:rPr>
          <w:rStyle w:val="VerbatimChar"/>
        </w:rPr>
        <w:t xml:space="preserve">quarto-preprint</w:t>
      </w:r>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1" w:name="preface"/>
    <w:p>
      <w:pPr>
        <w:pStyle w:val="Heading1"/>
      </w:pPr>
      <w:r>
        <w:t xml:space="preserve">Preface</w:t>
      </w:r>
    </w:p>
    <w:p>
      <w:pPr>
        <w:pStyle w:val="FirstParagraph"/>
      </w:pPr>
      <w:hyperlink r:id="rId20">
        <w:r>
          <w:rPr>
            <w:rStyle w:val="Hyperlink"/>
          </w:rPr>
          <w:t xml:space="preserve">Quarto</w:t>
        </w:r>
      </w:hyperlink>
      <w:r>
        <w:t xml:space="preserve"> </w:t>
      </w:r>
      <w:r>
        <w:t xml:space="preserve">is an</w:t>
      </w:r>
      <w:r>
        <w:t xml:space="preserve"> </w:t>
      </w:r>
      <w:r>
        <w:t xml:space="preserve">“</w:t>
      </w:r>
      <w:r>
        <w:rPr>
          <w:i/>
          <w:iCs/>
        </w:rPr>
        <w:t xml:space="preserve">An open-source scientific and technical publishing system</w:t>
      </w:r>
      <w:r>
        <w:t xml:space="preserve">”</w:t>
      </w:r>
      <w:r>
        <w:t xml:space="preserve">. It is both a markup language that 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 a program that renders source code written in Quarto Markdown to a variety of formats including PDF, MS Word, HTML, ePub, and many</w:t>
      </w:r>
      <w:r>
        <w:t xml:space="preserve"> </w:t>
      </w:r>
      <w:hyperlink r:id="rId23">
        <w:r>
          <w:rPr>
            <w:rStyle w:val="Hyperlink"/>
          </w:rPr>
          <w:t xml:space="preserve">more</w:t>
        </w:r>
      </w:hyperlink>
      <w:r>
        <w:t xml:space="preserve">. This source code can include prose (this text), maths (</w:t>
      </w:r>
      <m:oMath>
        <m:rad>
          <m:radPr>
            <m:degHide m:val="on"/>
          </m:radPr>
          <m:deg/>
          <m:e>
            <m:r>
              <m:t>2</m:t>
            </m:r>
          </m:e>
        </m:rad>
      </m:oMath>
      <w:r>
        <w:t xml:space="preserve">), code evaluation (</w:t>
      </w:r>
      <w:r>
        <w:rPr>
          <w:rStyle w:val="VerbatimChar"/>
        </w:rPr>
        <w:t xml:space="preserve">{r} sqrt(2)</w:t>
      </w:r>
      <w:r>
        <w:t xml:space="preserve"> </w:t>
      </w:r>
      <w:r>
        <w:t xml:space="preserve">renders to 1.414), scholarly</w:t>
      </w:r>
      <w:r>
        <w:t xml:space="preserve"> </w:t>
      </w:r>
      <w:hyperlink r:id="rId24">
        <w:r>
          <w:rPr>
            <w:rStyle w:val="Hyperlink"/>
          </w:rPr>
          <w:t xml:space="preserve">metadata</w:t>
        </w:r>
      </w:hyperlink>
      <w:r>
        <w:t xml:space="preserve">, and more. In short, Quarto is a language and engine for reproducible manuscripts.</w:t>
      </w:r>
    </w:p>
    <w:p>
      <w:pPr>
        <w:pStyle w:val="BodyText"/>
      </w:pPr>
      <w:r>
        <w:t xml:space="preserve">The look and feel of the output documents can be controlled within the source document (e.g. </w:t>
      </w:r>
      <w:hyperlink r:id="rId25">
        <w:r>
          <w:rPr>
            <w:rStyle w:val="Hyperlink"/>
          </w:rPr>
          <w:t xml:space="preserve">here</w:t>
        </w:r>
      </w:hyperlink>
      <w:r>
        <w:t xml:space="preserve">), or by using a Quarto</w:t>
      </w:r>
      <w:r>
        <w:t xml:space="preserve"> </w:t>
      </w:r>
      <w:hyperlink r:id="rId26">
        <w:r>
          <w:rPr>
            <w:rStyle w:val="Hyperlink"/>
          </w:rPr>
          <w:t xml:space="preserve">extension</w:t>
        </w:r>
      </w:hyperlink>
      <w:r>
        <w:t xml:space="preserve">.</w:t>
      </w:r>
      <w:r>
        <w:t xml:space="preserve"> </w:t>
      </w:r>
      <w:hyperlink r:id="rId27">
        <w:r>
          <w:rPr>
            <w:rStyle w:val="Hyperlink"/>
            <w:b/>
            <w:bCs/>
          </w:rPr>
          <w:t xml:space="preserve">quarto-preprint</w:t>
        </w:r>
      </w:hyperlink>
      <w:r>
        <w:t xml:space="preserve"> </w:t>
      </w:r>
      <w:r>
        <w:t xml:space="preserve">is such an extension, designed to produce neat PDF documents quickly with minimum fuss. It is called</w:t>
      </w:r>
      <w:r>
        <w:t xml:space="preserve"> </w:t>
      </w:r>
      <w:r>
        <w:t xml:space="preserve">“</w:t>
      </w:r>
      <w:r>
        <w:t xml:space="preserve">preprint</w:t>
      </w:r>
      <w:r>
        <w:t xml:space="preserve">”</w:t>
      </w:r>
      <w:r>
        <w:t xml:space="preserve"> </w:t>
      </w:r>
      <w:r>
        <w:t xml:space="preserve">because it provides a basic layout in a Quarto-standards compliant package, allowing users to easily switch to a journal-specific</w:t>
      </w:r>
      <w:r>
        <w:t xml:space="preserve"> </w:t>
      </w:r>
      <w:hyperlink r:id="rId28">
        <w:r>
          <w:rPr>
            <w:rStyle w:val="Hyperlink"/>
          </w:rPr>
          <w:t xml:space="preserve">extension</w:t>
        </w:r>
      </w:hyperlink>
      <w:r>
        <w:t xml:space="preserve"> </w:t>
      </w:r>
      <w:r>
        <w:t xml:space="preserve">if they so choose. It also produces basic Word .docx documents to facilitate collaboration and/or further WYSIWYG editing.</w:t>
      </w:r>
    </w:p>
    <w:p>
      <w:pPr>
        <w:pStyle w:val="BodyText"/>
      </w:pPr>
      <w:r>
        <w:t xml:space="preserve">Moreover, I was partly motivated to create this extension by a hope that it would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b/>
          <w:bCs/>
        </w:rPr>
        <w:t xml:space="preserve">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on their computers, and so is practically easier to use than other PDF-producing methods. Typst also simplifies the development and codebase of</w:t>
      </w:r>
      <w:r>
        <w:t xml:space="preserve"> </w:t>
      </w:r>
      <w:r>
        <w:rPr>
          <w:b/>
          <w:bCs/>
        </w:rPr>
        <w:t xml:space="preserve">preprint</w:t>
      </w:r>
      <w:r>
        <w:t xml:space="preserve">, thus making edits, bug fixes, forks, and new features easier. Second,</w:t>
      </w:r>
      <w:r>
        <w:t xml:space="preserve"> </w:t>
      </w:r>
      <w:r>
        <w:rPr>
          <w:b/>
          <w:bCs/>
        </w:rPr>
        <w:t xml:space="preserve">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a reference manual to several Quarto (and additional) features supported by</w:t>
      </w:r>
      <w:r>
        <w:t xml:space="preserve"> </w:t>
      </w:r>
      <w:r>
        <w:rPr>
          <w:b/>
          <w:bCs/>
        </w:rPr>
        <w:t xml:space="preserve">preprint</w:t>
      </w:r>
      <w:r>
        <w:t xml:space="preserve">, and an example</w:t>
      </w:r>
      <w:r>
        <w:t xml:space="preserve"> </w:t>
      </w:r>
      <w:r>
        <w:rPr>
          <w:b/>
          <w:bCs/>
        </w:rPr>
        <w:t xml:space="preserve">preprint</w:t>
      </w:r>
      <w:r>
        <w:t xml:space="preserve"> </w:t>
      </w:r>
      <w:r>
        <w:t xml:space="preserve">document.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3">
        <w:r>
          <w:rPr>
            <w:rStyle w:val="Hyperlink"/>
          </w:rPr>
          <w:t xml:space="preserve">HTML</w:t>
        </w:r>
      </w:hyperlink>
      <w:r>
        <w:t xml:space="preserve">,</w:t>
      </w:r>
      <w:r>
        <w:t xml:space="preserve"> </w:t>
      </w:r>
      <w:hyperlink r:id="rId33">
        <w:r>
          <w:rPr>
            <w:rStyle w:val="Hyperlink"/>
          </w:rPr>
          <w:t xml:space="preserve">MS Word</w:t>
        </w:r>
      </w:hyperlink>
      <w:r>
        <w:t xml:space="preserve">).</w:t>
      </w:r>
    </w:p>
    <w:bookmarkStart w:id="40" w:name="a-basic-quarto-example"/>
    <w:p>
      <w:pPr>
        <w:pStyle w:val="Heading2"/>
      </w:pPr>
      <w:r>
        <w:t xml:space="preserve">A basic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 manuscript using the *preprint* Quarto Typst extension</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will be the body text of my new document. Exciting [@r2024]!</w:t>
      </w:r>
    </w:p>
    <w:p>
      <w:pPr>
        <w:pStyle w:val="FirstParagraph"/>
      </w:pPr>
      <w:r>
        <w:t xml:space="preserve">This source code renders (e.g. in</w:t>
      </w:r>
      <w:r>
        <w:t xml:space="preserve"> </w:t>
      </w:r>
      <w:hyperlink r:id="rId34">
        <w:r>
          <w:rPr>
            <w:rStyle w:val="Hyperlink"/>
          </w:rPr>
          <w:t xml:space="preserve">RStudio</w:t>
        </w:r>
      </w:hyperlink>
      <w:r>
        <w:t xml:space="preserve"> </w:t>
      </w:r>
      <w:r>
        <w:t xml:space="preserve">or</w:t>
      </w:r>
      <w:r>
        <w:t xml:space="preserve"> </w:t>
      </w:r>
      <w:hyperlink r:id="rId35">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39" w:name="fig-ex"/>
          <w:p>
            <w:pPr>
              <w:pStyle w:val="Compact"/>
              <w:jc w:val="center"/>
            </w:pPr>
            <w:r>
              <w:drawing>
                <wp:inline>
                  <wp:extent cx="5578257" cy="1219200"/>
                  <wp:effectExtent b="0" l="0" r="0" t="0"/>
                  <wp:docPr descr="" title="" id="37" name="Picture"/>
                  <a:graphic>
                    <a:graphicData uri="http://schemas.openxmlformats.org/drawingml/2006/picture">
                      <pic:pic>
                        <pic:nvPicPr>
                          <pic:cNvPr descr="ex.png" id="38" name="Picture"/>
                          <pic:cNvPicPr>
                            <a:picLocks noChangeArrowheads="1" noChangeAspect="1"/>
                          </pic:cNvPicPr>
                        </pic:nvPicPr>
                        <pic:blipFill>
                          <a:blip r:embed="rId36"/>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39"/>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Basics such as authors’ affiliations are missing.</w:t>
      </w:r>
      <w:r>
        <w:t xml:space="preserve"> </w:t>
      </w:r>
      <w:r>
        <w:rPr>
          <w:b/>
          <w:bCs/>
        </w:rPr>
        <w:t xml:space="preserve">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w:t>
      </w:r>
      <w:r>
        <w:t xml:space="preserve"> </w:t>
      </w:r>
      <w:r>
        <w:rPr>
          <w:b/>
          <w:bCs/>
        </w:rPr>
        <w:t xml:space="preserve">preprint</w:t>
      </w:r>
      <w:r>
        <w:t xml:space="preserve"> </w:t>
      </w:r>
      <w:r>
        <w:t xml:space="preserve">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b/>
          <w:bCs/>
        </w:rPr>
        <w:t xml:space="preserve">preprint-typst</w:t>
      </w:r>
      <w:r>
        <w:t xml:space="preserve"> </w:t>
      </w:r>
      <w:r>
        <w:t xml:space="preserve">is a Quarto extension that formats your Quarto source—which can be prose, code, math, tables, figures, etc.—to a pleasant looking .pdf via Typst.</w:t>
      </w:r>
    </w:p>
    <w:bookmarkEnd w:id="40"/>
    <w:bookmarkEnd w:id="41"/>
    <w:bookmarkStart w:id="62" w:name="preprint-quarto-extension-manual"/>
    <w:p>
      <w:pPr>
        <w:pStyle w:val="Heading1"/>
      </w:pPr>
      <w:r>
        <w:rPr>
          <w:i/>
          <w:iCs/>
        </w:rPr>
        <w:t xml:space="preserve">preprint</w:t>
      </w:r>
      <w:r>
        <w:t xml:space="preserve"> </w:t>
      </w:r>
      <w:r>
        <w:t xml:space="preserve">Quarto extension 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24">
        <w:r>
          <w:rPr>
            <w:rStyle w:val="Hyperlink"/>
          </w:rPr>
          <w:t xml:space="preserve">Quarto</w:t>
        </w:r>
      </w:hyperlink>
      <w:r>
        <w:t xml:space="preserve"> </w:t>
      </w:r>
      <w:r>
        <w:t xml:space="preserve">or</w:t>
      </w:r>
      <w:r>
        <w:t xml:space="preserve"> </w:t>
      </w:r>
      <w:hyperlink r:id="rId42">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b/>
          <w:bCs/>
        </w:rPr>
        <w:t xml:space="preserve">preprint</w:t>
      </w:r>
      <w:r>
        <w:t xml:space="preserve"> </w:t>
      </w:r>
      <w:r>
        <w:t xml:space="preserve">Typst format extension.</w:t>
      </w:r>
    </w:p>
    <w:bookmarkStart w:id="52"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4"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3">
        <w:r>
          <w:rPr>
            <w:rStyle w:val="Hyperlink"/>
          </w:rPr>
          <w:t xml:space="preserve">documentation</w:t>
        </w:r>
      </w:hyperlink>
      <w:r>
        <w:t xml:space="preserve">.</w:t>
      </w:r>
    </w:p>
    <w:bookmarkEnd w:id="44"/>
    <w:bookmarkStart w:id="45"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5"/>
    <w:bookmarkStart w:id="46"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6"/>
    <w:bookmarkStart w:id="48"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7">
        <w:r>
          <w:rPr>
            <w:rStyle w:val="Hyperlink"/>
          </w:rPr>
          <w:t xml:space="preserve">documentation</w:t>
        </w:r>
      </w:hyperlink>
      <w:r>
        <w:t xml:space="preserve">.</w:t>
      </w:r>
    </w:p>
    <w:bookmarkEnd w:id="48"/>
    <w:bookmarkStart w:id="49"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toc_depth</w:t>
      </w:r>
      <w:r>
        <w:rPr>
          <w:rStyle w:val="KeywordTok"/>
        </w:rPr>
        <w:t xml:space="preserve">:</w:t>
      </w:r>
      <w:r>
        <w:rPr>
          <w:rStyle w:val="AttributeTok"/>
        </w:rPr>
        <w:t xml:space="preserve"> </w:t>
      </w:r>
      <w:r>
        <w:rPr>
          <w:rStyle w:val="DecValTok"/>
        </w:rPr>
        <w:t xml:space="preserve">2</w:t>
      </w:r>
      <w:r>
        <w:br/>
      </w:r>
      <w:r>
        <w:rPr>
          <w:rStyle w:val="FunctionTok"/>
        </w:rPr>
        <w:t xml:space="preserve">toc_title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49"/>
    <w:bookmarkStart w:id="51"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50">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1"/>
    <w:bookmarkEnd w:id="52"/>
    <w:bookmarkStart w:id="61"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r>
        <w:br/>
      </w:r>
      <w:r>
        <w:rPr>
          <w:rStyle w:val="FunctionTok"/>
        </w:rPr>
        <w:t xml:space="preserve">title-page</w:t>
      </w:r>
      <w:r>
        <w:rPr>
          <w:rStyle w:val="KeywordTok"/>
        </w:rPr>
        <w:t xml:space="preserve">:</w:t>
      </w:r>
      <w:r>
        <w:rPr>
          <w:rStyle w:val="AttributeTok"/>
        </w:rPr>
        <w:t xml:space="preserve"> </w:t>
      </w:r>
      <w:r>
        <w:rPr>
          <w:rStyle w:val="CharTok"/>
        </w:rPr>
        <w:t xml:space="preserve">false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p>
      <w:pPr>
        <w:pStyle w:val="BodyText"/>
      </w:pPr>
      <w:r>
        <w:rPr>
          <w:rStyle w:val="VerbatimChar"/>
        </w:rPr>
        <w:t xml:space="preserve">title-page: true</w:t>
      </w:r>
      <w:r>
        <w:t xml:space="preserve"> </w:t>
      </w:r>
      <w:r>
        <w:t xml:space="preserve">adds page breaks after the title &amp; authors section and the abstract.</w:t>
      </w:r>
    </w:p>
    <w:bookmarkStart w:id="60"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3">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4">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5">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6">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7">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8">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59">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0"/>
    <w:bookmarkEnd w:id="61"/>
    <w:bookmarkEnd w:id="62"/>
    <w:bookmarkStart w:id="87"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6"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5"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4"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3"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3"/>
    <w:bookmarkEnd w:id="64"/>
    <w:bookmarkEnd w:id="65"/>
    <w:bookmarkEnd w:id="66"/>
    <w:bookmarkStart w:id="75" w:name="floats"/>
    <w:p>
      <w:pPr>
        <w:pStyle w:val="Heading2"/>
      </w:pPr>
      <w:r>
        <w:t xml:space="preserve">Floats</w:t>
      </w:r>
    </w:p>
    <w:bookmarkStart w:id="69"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tbl-example"/>
          <w:p>
            <w:pPr>
              <w:jc w:val="center"/>
            </w:pPr>
            <w:pPr>
              <w:jc w:val="start"/>
              <w:spacing w:before="200"/>
              <w:pStyle w:val="ImageCaption"/>
            </w:pPr>
            <w:r>
              <w:t xml:space="preserve">Table 1: Table created with</w:t>
            </w:r>
            <w:r>
              <w:t xml:space="preserve"> </w:t>
            </w:r>
            <w:r>
              <w:rPr>
                <w:rStyle w:val="VerbatimChar"/>
              </w:rPr>
              <w:t xml:space="preserve">tinytable::tt()</w:t>
            </w:r>
          </w:p>
          <w:tbl>
            <w:tblPr>
              <w:tblStyle w:val="Table"/>
              <w:tblW w:type="pct" w:w="1181"/>
              <w:tblLayout w:type="fixed"/>
              <w:tblLook w:firstRow="1" w:lastRow="0" w:firstColumn="0" w:lastColumn="0" w:noHBand="0" w:noVBand="0" w:val="0020"/>
            </w:tblPr>
            <w:tblGrid>
              <w:gridCol w:w="880"/>
              <w:gridCol w:w="99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1.359</w:t>
                  </w:r>
                </w:p>
              </w:tc>
            </w:tr>
            <w:tr>
              <w:tc>
                <w:tcPr/>
                <w:p>
                  <w:pPr>
                    <w:pStyle w:val="Compact"/>
                    <w:jc w:val="left"/>
                    <w:jc w:val="center"/>
                  </w:pPr>
                  <w:r>
                    <w:t xml:space="preserve">0.18</w:t>
                  </w:r>
                </w:p>
              </w:tc>
              <w:tc>
                <w:tcPr/>
                <w:p>
                  <w:pPr>
                    <w:pStyle w:val="Compact"/>
                    <w:jc w:val="left"/>
                    <w:jc w:val="center"/>
                  </w:pPr>
                  <w:r>
                    <w:t xml:space="preserve">-0.103</w:t>
                  </w:r>
                </w:p>
              </w:tc>
            </w:tr>
            <w:tr>
              <w:tc>
                <w:tcPr/>
                <w:p>
                  <w:pPr>
                    <w:pStyle w:val="Compact"/>
                    <w:jc w:val="left"/>
                    <w:jc w:val="center"/>
                  </w:pPr>
                  <w:r>
                    <w:t xml:space="preserve">-0.84</w:t>
                  </w:r>
                </w:p>
              </w:tc>
              <w:tc>
                <w:tcPr/>
                <w:p>
                  <w:pPr>
                    <w:pStyle w:val="Compact"/>
                    <w:jc w:val="left"/>
                    <w:jc w:val="center"/>
                  </w:pPr>
                  <w:r>
                    <w:t xml:space="preserve">0.388</w:t>
                  </w:r>
                </w:p>
              </w:tc>
            </w:tr>
            <w:tr>
              <w:tc>
                <w:tcPr/>
                <w:p>
                  <w:pPr>
                    <w:pStyle w:val="Compact"/>
                    <w:jc w:val="left"/>
                    <w:jc w:val="center"/>
                  </w:pPr>
                  <w:r>
                    <w:t xml:space="preserve">1.6</w:t>
                  </w:r>
                </w:p>
              </w:tc>
              <w:tc>
                <w:tcPr/>
                <w:p>
                  <w:pPr>
                    <w:pStyle w:val="Compact"/>
                    <w:jc w:val="left"/>
                    <w:jc w:val="center"/>
                  </w:pPr>
                  <w:r>
                    <w:t xml:space="preserve">-0.054</w:t>
                  </w:r>
                </w:p>
              </w:tc>
            </w:tr>
            <w:tr>
              <w:tc>
                <w:tcPr/>
                <w:p>
                  <w:pPr>
                    <w:pStyle w:val="Compact"/>
                    <w:jc w:val="left"/>
                    <w:jc w:val="center"/>
                  </w:pPr>
                  <w:r>
                    <w:t xml:space="preserve">0.33</w:t>
                  </w:r>
                </w:p>
              </w:tc>
              <w:tc>
                <w:tcPr/>
                <w:p>
                  <w:pPr>
                    <w:pStyle w:val="Compact"/>
                    <w:jc w:val="left"/>
                    <w:jc w:val="center"/>
                  </w:pPr>
                  <w:r>
                    <w:t xml:space="preserve">-1.377</w:t>
                  </w:r>
                </w:p>
              </w:tc>
            </w:tr>
            <w:tr>
              <w:tc>
                <w:tcPr/>
                <w:p>
                  <w:pPr>
                    <w:pStyle w:val="Compact"/>
                    <w:jc w:val="left"/>
                    <w:jc w:val="center"/>
                  </w:pPr>
                  <w:r>
                    <w:t xml:space="preserve">-0.82</w:t>
                  </w:r>
                </w:p>
              </w:tc>
              <w:tc>
                <w:tcPr/>
                <w:p>
                  <w:pPr>
                    <w:pStyle w:val="Compact"/>
                    <w:jc w:val="left"/>
                    <w:jc w:val="center"/>
                  </w:pPr>
                  <w:r>
                    <w:t xml:space="preserve">-0.415</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example2"/>
          <w:p>
            <w:pPr>
              <w:jc w:val="center"/>
            </w:pPr>
            <w:pPr>
              <w:jc w:val="start"/>
              <w:spacing w:before="200"/>
              <w:pStyle w:val="ImageCaption"/>
            </w:pPr>
            <w:r>
              <w:t xml:space="preserve">Table 2: Table created with</w:t>
            </w:r>
            <w:r>
              <w:t xml:space="preserve"> </w:t>
            </w:r>
            <w:r>
              <w:rPr>
                <w:rStyle w:val="VerbatimChar"/>
              </w:rPr>
              <w:t xml:space="preserve">knitr::kable()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jc w:val="center"/>
                  </w:pPr>
                  <w:r>
                    <w:t xml:space="preserve">x</w:t>
                  </w:r>
                </w:p>
              </w:tc>
              <w:tc>
                <w:tcPr/>
                <w:p>
                  <w:pPr>
                    <w:pStyle w:val="Compact"/>
                    <w:jc w:val="right"/>
                    <w:jc w:val="center"/>
                  </w:pPr>
                  <w:r>
                    <w:t xml:space="preserve">y</w:t>
                  </w:r>
                </w:p>
              </w:tc>
            </w:tr>
            <w:tr>
              <w:tc>
                <w:tcPr/>
                <w:p>
                  <w:pPr>
                    <w:pStyle w:val="Compact"/>
                    <w:jc w:val="right"/>
                    <w:jc w:val="center"/>
                  </w:pPr>
                  <w:r>
                    <w:t xml:space="preserve">-0.63</w:t>
                  </w:r>
                </w:p>
              </w:tc>
              <w:tc>
                <w:tcPr/>
                <w:p>
                  <w:pPr>
                    <w:pStyle w:val="Compact"/>
                    <w:jc w:val="right"/>
                    <w:jc w:val="center"/>
                  </w:pPr>
                  <w:r>
                    <w:t xml:space="preserve">1.36</w:t>
                  </w:r>
                </w:p>
              </w:tc>
            </w:tr>
            <w:tr>
              <w:tc>
                <w:tcPr/>
                <w:p>
                  <w:pPr>
                    <w:pStyle w:val="Compact"/>
                    <w:jc w:val="right"/>
                    <w:jc w:val="center"/>
                  </w:pPr>
                  <w:r>
                    <w:t xml:space="preserve">0.18</w:t>
                  </w:r>
                </w:p>
              </w:tc>
              <w:tc>
                <w:tcPr/>
                <w:p>
                  <w:pPr>
                    <w:pStyle w:val="Compact"/>
                    <w:jc w:val="right"/>
                    <w:jc w:val="center"/>
                  </w:pPr>
                  <w:r>
                    <w:t xml:space="preserve">-0.10</w:t>
                  </w:r>
                </w:p>
              </w:tc>
            </w:tr>
            <w:tr>
              <w:tc>
                <w:tcPr/>
                <w:p>
                  <w:pPr>
                    <w:pStyle w:val="Compact"/>
                    <w:jc w:val="right"/>
                    <w:jc w:val="center"/>
                  </w:pPr>
                  <w:r>
                    <w:t xml:space="preserve">-0.84</w:t>
                  </w:r>
                </w:p>
              </w:tc>
              <w:tc>
                <w:tcPr/>
                <w:p>
                  <w:pPr>
                    <w:pStyle w:val="Compact"/>
                    <w:jc w:val="right"/>
                    <w:jc w:val="center"/>
                  </w:pPr>
                  <w:r>
                    <w:t xml:space="preserve">0.39</w:t>
                  </w:r>
                </w:p>
              </w:tc>
            </w:tr>
            <w:tr>
              <w:tc>
                <w:tcPr/>
                <w:p>
                  <w:pPr>
                    <w:pStyle w:val="Compact"/>
                    <w:jc w:val="right"/>
                    <w:jc w:val="center"/>
                  </w:pPr>
                  <w:r>
                    <w:t xml:space="preserve">1.60</w:t>
                  </w:r>
                </w:p>
              </w:tc>
              <w:tc>
                <w:tcPr/>
                <w:p>
                  <w:pPr>
                    <w:pStyle w:val="Compact"/>
                    <w:jc w:val="right"/>
                    <w:jc w:val="center"/>
                  </w:pPr>
                  <w:r>
                    <w:t xml:space="preserve">-0.05</w:t>
                  </w:r>
                </w:p>
              </w:tc>
            </w:tr>
            <w:tr>
              <w:tc>
                <w:tcPr/>
                <w:p>
                  <w:pPr>
                    <w:pStyle w:val="Compact"/>
                    <w:jc w:val="right"/>
                    <w:jc w:val="center"/>
                  </w:pPr>
                  <w:r>
                    <w:t xml:space="preserve">0.33</w:t>
                  </w:r>
                </w:p>
              </w:tc>
              <w:tc>
                <w:tcPr/>
                <w:p>
                  <w:pPr>
                    <w:pStyle w:val="Compact"/>
                    <w:jc w:val="right"/>
                    <w:jc w:val="center"/>
                  </w:pPr>
                  <w:r>
                    <w:t xml:space="preserve">-1.38</w:t>
                  </w:r>
                </w:p>
              </w:tc>
            </w:tr>
            <w:tr>
              <w:tc>
                <w:tcPr/>
                <w:p>
                  <w:pPr>
                    <w:pStyle w:val="Compact"/>
                    <w:jc w:val="right"/>
                    <w:jc w:val="center"/>
                  </w:pPr>
                  <w:r>
                    <w:t xml:space="preserve">-0.82</w:t>
                  </w:r>
                </w:p>
              </w:tc>
              <w:tc>
                <w:tcPr/>
                <w:p>
                  <w:pPr>
                    <w:pStyle w:val="Compact"/>
                    <w:jc w:val="right"/>
                    <w:jc w:val="center"/>
                  </w:pPr>
                  <w:r>
                    <w:t xml:space="preserve">-0.41</w:t>
                  </w:r>
                </w:p>
              </w:tc>
            </w:tr>
          </w:tbl>
          <w:bookmarkEnd w:id="68"/>
          <w:p/>
        </w:tc>
      </w:tr>
    </w:tbl>
    <w:bookmarkEnd w:id="69"/>
    <w:bookmarkStart w:id="74"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fig-example"/>
          <w:p>
            <w:pPr>
              <w:pStyle w:val="Compact"/>
              <w:jc w:val="center"/>
            </w:pPr>
            <w:r>
              <w:drawing>
                <wp:inline>
                  <wp:extent cx="3657600" cy="3657600"/>
                  <wp:effectExtent b="0" l="0" r="0" t="0"/>
                  <wp:docPr descr="" title="" id="71" name="Picture"/>
                  <a:graphic>
                    <a:graphicData uri="http://schemas.openxmlformats.org/drawingml/2006/picture">
                      <pic:pic>
                        <pic:nvPicPr>
                          <pic:cNvPr descr="index_files/figure-docx/fig-example-1.png" id="72" name="Picture"/>
                          <pic:cNvPicPr>
                            <a:picLocks noChangeArrowheads="1" noChangeAspect="1"/>
                          </pic:cNvPicPr>
                        </pic:nvPicPr>
                        <pic:blipFill>
                          <a:blip r:embed="rId70"/>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3"/>
        </w:tc>
      </w:tr>
    </w:tbl>
    <w:bookmarkEnd w:id="74"/>
    <w:bookmarkEnd w:id="75"/>
    <w:bookmarkStart w:id="86" w:name="quarto-markdown-features"/>
    <w:p>
      <w:pPr>
        <w:pStyle w:val="Heading2"/>
      </w:pPr>
      <w:r>
        <w:t xml:space="preserve">Quarto markdown features</w:t>
      </w:r>
    </w:p>
    <w:bookmarkStart w:id="77"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6"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6"/>
    </w:p>
    <w:bookmarkEnd w:id="77"/>
    <w:bookmarkStart w:id="78"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8"/>
    <w:bookmarkStart w:id="83" w:name="callouts"/>
    <w:p>
      <w:pPr>
        <w:pStyle w:val="Heading3"/>
      </w:pPr>
      <w:r>
        <w:t xml:space="preserve">Callouts</w:t>
      </w:r>
    </w:p>
    <w:p>
      <w:pPr>
        <w:pStyle w:val="FirstParagraph"/>
      </w:pPr>
      <w:hyperlink r:id="rId79">
        <w:r>
          <w:rPr>
            <w:rStyle w:val="Hyperlink"/>
          </w:rPr>
          <w:t xml:space="preserve">Callout blocks</w:t>
        </w:r>
      </w:hyperlink>
      <w:r>
        <w:t xml:space="preserve">, such as</w:t>
      </w:r>
      <w:r>
        <w:t xml:space="preserve"> </w:t>
      </w:r>
      <w:hyperlink w:anchor="tip-example">
        <w:r>
          <w:rPr>
            <w:rStyle w:val="Hyperlink"/>
          </w:rPr>
          <w:t xml:space="preserve">Tip 1</w:t>
        </w:r>
      </w:hyperlink>
      <w:r>
        <w:t xml:space="preserve">, can be useful for highlighting content, such as one might do in a box that defines key terms, etc.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 All kinds of markup</w:t>
            </w:r>
          </w:p>
        </w:tc>
      </w:tr>
      <w:tr>
        <w:trPr>
          <w:cantSplit/>
        </w:trPr>
        <w:tc>
          <w:tcPr>
            <w:tcMar>
              <w:top w:w="108" w:type="dxa"/>
              <w:bottom w:w="108" w:type="dxa"/>
            </w:tcMar>
          </w:tcPr>
          <w:p>
            <w:pPr>
              <w:pStyle w:val="SourceCode"/>
            </w:pPr>
            <w:r>
              <w:rPr>
                <w:rStyle w:val="VerbatimChar"/>
              </w:rPr>
              <w:t xml:space="preserve">This is basic markdown: **bold text** &amp; ~subscript~.</w:t>
            </w:r>
          </w:p>
          <w:p>
            <w:pPr>
              <w:pStyle w:val="FirstParagraph"/>
            </w:pPr>
            <w:pPr>
              <w:spacing w:after="16"/>
            </w:pPr>
            <w:r>
              <w:t xml:space="preserve">This is basic markdown:</w:t>
            </w:r>
            <w:r>
              <w:t xml:space="preserve"> </w:t>
            </w:r>
            <w:r>
              <w:rPr>
                <w:b/>
                <w:bCs/>
              </w:rPr>
              <w:t xml:space="preserve">bold text</w:t>
            </w:r>
            <w:r>
              <w:t xml:space="preserve"> </w:t>
            </w:r>
            <w:r>
              <w:t xml:space="preserve">&amp;</w:t>
            </w:r>
            <w:r>
              <w:t xml:space="preserve"> </w:t>
            </w:r>
            <w:r>
              <w:rPr>
                <w:vertAlign w:val="subscript"/>
              </w:rPr>
              <w:t xml:space="preserve">subscript</w:t>
            </w:r>
            <w:r>
              <w:t xml:space="preserve">.</w:t>
            </w:r>
          </w:p>
        </w:tc>
      </w:tr>
    </w:tbl>
    <w:bookmarkEnd w:id="83"/>
    <w:bookmarkStart w:id="85" w:name="code-listings"/>
    <w:p>
      <w:pPr>
        <w:pStyle w:val="Heading3"/>
      </w:pPr>
      <w:r>
        <w:t xml:space="preserve">Code listings</w:t>
      </w:r>
    </w:p>
    <w:p>
      <w:pPr>
        <w:pStyle w:val="FirstParagraph"/>
      </w:pPr>
      <w:r>
        <w:t xml:space="preserve">Code listings can also be cross-referenced (</w:t>
      </w:r>
      <w:hyperlink w:anchor="lst-r">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4"/>
        </w:tc>
      </w:tr>
    </w:tbl>
    <w:bookmarkEnd w:id="85"/>
    <w:bookmarkEnd w:id="86"/>
    <w:bookmarkEnd w:id="87"/>
    <w:bookmarkStart w:id="97" w:name="help-contributing"/>
    <w:p>
      <w:pPr>
        <w:pStyle w:val="Heading1"/>
      </w:pPr>
      <w:r>
        <w:t xml:space="preserve">Help &amp;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r>
        <w:t xml:space="preserve">.</w:t>
      </w:r>
    </w:p>
    <w:bookmarkStart w:id="96" w:name="refs"/>
    <w:bookmarkStart w:id="89"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8">
        <w:r>
          <w:rPr>
            <w:rStyle w:val="Hyperlink"/>
          </w:rPr>
          <w:t xml:space="preserve">https://doi.org/10.1038/s41562-023-01637-2</w:t>
        </w:r>
      </w:hyperlink>
      <w:r>
        <w:t xml:space="preserve">.</w:t>
      </w:r>
    </w:p>
    <w:bookmarkEnd w:id="89"/>
    <w:bookmarkStart w:id="91"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0">
        <w:r>
          <w:rPr>
            <w:rStyle w:val="Hyperlink"/>
          </w:rPr>
          <w:t xml:space="preserve">https://doi.org/10.1177/25152459211019948</w:t>
        </w:r>
      </w:hyperlink>
      <w:r>
        <w:t xml:space="preserve">.</w:t>
      </w:r>
    </w:p>
    <w:bookmarkEnd w:id="91"/>
    <w:bookmarkStart w:id="93"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2">
        <w:r>
          <w:rPr>
            <w:rStyle w:val="Hyperlink"/>
          </w:rPr>
          <w:t xml:space="preserve">https://doi.org/10.1371/journal.pbio.3002234</w:t>
        </w:r>
      </w:hyperlink>
      <w:r>
        <w:t xml:space="preserve">.</w:t>
      </w:r>
    </w:p>
    <w:bookmarkEnd w:id="93"/>
    <w:bookmarkStart w:id="95"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4">
        <w:r>
          <w:rPr>
            <w:rStyle w:val="Hyperlink"/>
          </w:rPr>
          <w:t xml:space="preserve">https://doi.org/10.15626/MP.2023.3758</w:t>
        </w:r>
      </w:hyperlink>
      <w:r>
        <w:t xml:space="preserve">.</w:t>
      </w:r>
    </w:p>
    <w:bookmarkEnd w:id="95"/>
    <w:bookmarkEnd w:id="96"/>
    <w:bookmarkEnd w:id="97"/>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36" Target="media/rId36.png" /><Relationship Type="http://schemas.openxmlformats.org/officeDocument/2006/relationships/image" Id="rId70" Target="media/rId70.png" /><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2" Target="https://doi.org/10.1371/journal.pbio.3002234" TargetMode="External" /><Relationship Type="http://schemas.openxmlformats.org/officeDocument/2006/relationships/hyperlink" Id="rId94"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9"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_rels/footnotes.xml.rels><?xml version="1.0" encoding="UTF-8"?><Relationships xmlns="http://schemas.openxmlformats.org/package/2006/relationships"><Relationship Type="http://schemas.openxmlformats.org/officeDocument/2006/relationships/hyperlink" Id="rId42" Target="(https://typst.app/docs)" TargetMode="External" /><Relationship Type="http://schemas.openxmlformats.org/officeDocument/2006/relationships/hyperlink" Id="rId88" Target="https://doi.org/10.1038/s41562-023-01637-2" TargetMode="External" /><Relationship Type="http://schemas.openxmlformats.org/officeDocument/2006/relationships/hyperlink" Id="rId90" Target="https://doi.org/10.1177/25152459211019948" TargetMode="External" /><Relationship Type="http://schemas.openxmlformats.org/officeDocument/2006/relationships/hyperlink" Id="rId92" Target="https://doi.org/10.1371/journal.pbio.3002234" TargetMode="External" /><Relationship Type="http://schemas.openxmlformats.org/officeDocument/2006/relationships/hyperlink" Id="rId94"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manual.qmd"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79" Target="https://quarto.org/docs/authoring/callouts.html" TargetMode="External" /><Relationship Type="http://schemas.openxmlformats.org/officeDocument/2006/relationships/hyperlink" Id="rId47"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4" Target="https://quarto.org/docs/get-started/authoring/rstudio.html#rendering" TargetMode="External" /><Relationship Type="http://schemas.openxmlformats.org/officeDocument/2006/relationships/hyperlink" Id="rId35"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3" Target="https://quarto.org/docs/output-formats/html-basics.html#overview" TargetMode="External" /><Relationship Type="http://schemas.openxmlformats.org/officeDocument/2006/relationships/hyperlink" Id="rId50"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4" Target="https://typst.app/docs/reference/layout/block/#parameters-spacing" TargetMode="External" /><Relationship Type="http://schemas.openxmlformats.org/officeDocument/2006/relationships/hyperlink" Id="rId56" Target="https://typst.app/docs/reference/layout/page/#parameters-margin" TargetMode="External" /><Relationship Type="http://schemas.openxmlformats.org/officeDocument/2006/relationships/hyperlink" Id="rId57" Target="https://typst.app/docs/reference/layout/page/#parameters-paper" TargetMode="External" /><Relationship Type="http://schemas.openxmlformats.org/officeDocument/2006/relationships/hyperlink" Id="rId55" Target="https://typst.app/docs/reference/model/par/#parameters-first-line-indent" TargetMode="External" /><Relationship Type="http://schemas.openxmlformats.org/officeDocument/2006/relationships/hyperlink" Id="rId53" Target="https://typst.app/docs/reference/model/par/#parameters-leading" TargetMode="External" /><Relationship Type="http://schemas.openxmlformats.org/officeDocument/2006/relationships/hyperlink" Id="rId58" Target="https://typst.app/docs/reference/text/text/#parameters-lang" TargetMode="External" /><Relationship Type="http://schemas.openxmlformats.org/officeDocument/2006/relationships/hyperlink" Id="rId59" Target="https://typst.app/docs/reference/text/text/#parameters-region" TargetMode="External" /><Relationship Type="http://schemas.openxmlformats.org/officeDocument/2006/relationships/hyperlink" Id="rId33" Target="t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preprint: A Quarto Typst extension for computationally reproducible manuscripts</dc:title>
  <dc:creator>Matti Vuorre</dc:creator>
  <cp:keywords>list, keywords, here, but not, too many</cp:keywords>
  <dcterms:created xsi:type="dcterms:W3CDTF">2024-06-23T08:06:50Z</dcterms:created>
  <dcterms:modified xsi:type="dcterms:W3CDTF">2024-06-23T08:06:50Z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and its source code (index.qmd) are both the manual and an example document of the Quarto manuscript extension quarto-preprint.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date">
    <vt:lpwstr>2024-06-23</vt:lpwstr>
  </property>
  <property fmtid="{D5CDD505-2E9C-101B-9397-08002B2CF9AE}" pid="13" name="execute">
    <vt:lpwstr/>
  </property>
  <property fmtid="{D5CDD505-2E9C-101B-9397-08002B2CF9AE}" pid="14" name="fontsize">
    <vt:lpwstr>10pt</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nkcolor">
    <vt:lpwstr>blue</vt:lpwstr>
  </property>
  <property fmtid="{D5CDD505-2E9C-101B-9397-08002B2CF9AE}" pid="20" name="mainfont">
    <vt:lpwstr>Fira Sans</vt:lpwstr>
  </property>
  <property fmtid="{D5CDD505-2E9C-101B-9397-08002B2CF9AE}" pid="21" name="revealjs-plugins">
    <vt:lpwstr/>
  </property>
  <property fmtid="{D5CDD505-2E9C-101B-9397-08002B2CF9AE}" pid="22" name="running-head">
    <vt:lpwstr>preprint Quarto extension manual</vt:lpwstr>
  </property>
  <property fmtid="{D5CDD505-2E9C-101B-9397-08002B2CF9AE}" pid="23" name="section-numbering">
    <vt:lpwstr/>
  </property>
  <property fmtid="{D5CDD505-2E9C-101B-9397-08002B2CF9AE}" pid="24" name="title-page">
    <vt:lpwstr>False</vt:lpwstr>
  </property>
  <property fmtid="{D5CDD505-2E9C-101B-9397-08002B2CF9AE}" pid="25" name="toc-title">
    <vt:lpwstr>Table of contents</vt:lpwstr>
  </property>
  <property fmtid="{D5CDD505-2E9C-101B-9397-08002B2CF9AE}" pid="26" name="toc_depth">
    <vt:lpwstr>2</vt:lpwstr>
  </property>
  <property fmtid="{D5CDD505-2E9C-101B-9397-08002B2CF9AE}" pid="27" name="toc_title">
    <vt:lpwstr>Contents</vt:lpwstr>
  </property>
</Properties>
</file>