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5E28E" w14:textId="77777777" w:rsidR="0084434E" w:rsidRDefault="0084434E" w:rsidP="0084434E">
      <w:pPr>
        <w:pStyle w:val="Cm"/>
      </w:pPr>
      <w:r>
        <w:t>Válasz</w:t>
      </w:r>
    </w:p>
    <w:p w14:paraId="0751215B" w14:textId="3CFDFF00" w:rsidR="0084434E" w:rsidRDefault="0084434E" w:rsidP="0084434E">
      <w:pPr>
        <w:pStyle w:val="Alcm"/>
      </w:pPr>
      <w:r>
        <w:t>Dr. Hartmann Péter bírálói véleményére</w:t>
      </w:r>
    </w:p>
    <w:p w14:paraId="772C6742" w14:textId="4C791112" w:rsidR="00530692" w:rsidRDefault="00F367DD" w:rsidP="00530692">
      <w:r>
        <w:t>A bírálói véleményben szerepel, hogy „Az ábrák nagyon jók és informatívak, egyes esetekben a nyomtatott változatban a színek összetéveszthetők.”</w:t>
      </w:r>
    </w:p>
    <w:p w14:paraId="06C9F2DD" w14:textId="5A6032B5" w:rsidR="00F367DD" w:rsidRDefault="00F367DD" w:rsidP="00F71B9E">
      <w:pPr>
        <w:jc w:val="both"/>
      </w:pPr>
      <w:r>
        <w:t>Való igaz, hogy a színes ábrák lé</w:t>
      </w:r>
      <w:r w:rsidR="003D2AA2">
        <w:t>trehozásakor ügyelni kell arra</w:t>
      </w:r>
      <w:r>
        <w:t xml:space="preserve">, hogy </w:t>
      </w:r>
      <w:r w:rsidR="003D2AA2">
        <w:t xml:space="preserve">az ábrák </w:t>
      </w:r>
      <w:r>
        <w:t>színek nélkül is egyértelműek legyenek</w:t>
      </w:r>
      <w:r w:rsidR="003D2AA2">
        <w:t>, tekintettel arra, hogy még manapság is gyakori, hogy csak fekete-fehér nyomtató áll rendelkezésre</w:t>
      </w:r>
      <w:r>
        <w:t xml:space="preserve">. Ugyanakkor érdemes használni színeket is, mert könnyebb az információt átadni. Az ábrázolást érintő törekvéseimet jól szemlélteti </w:t>
      </w:r>
      <w:r w:rsidR="005A7655">
        <w:t>az 1. ábra.</w:t>
      </w:r>
    </w:p>
    <w:p w14:paraId="1F3E7A6B" w14:textId="77777777" w:rsidR="00F367DD" w:rsidRDefault="00F367DD" w:rsidP="00F367DD">
      <w:pPr>
        <w:keepNext/>
        <w:jc w:val="center"/>
      </w:pPr>
      <w:r>
        <w:rPr>
          <w:noProof/>
        </w:rPr>
        <w:drawing>
          <wp:inline distT="0" distB="0" distL="0" distR="0" wp14:anchorId="3A5345E1" wp14:editId="20DF6319">
            <wp:extent cx="5587882" cy="2266950"/>
            <wp:effectExtent l="0" t="0" r="0" b="0"/>
            <wp:docPr id="474" name="Kép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191" cy="227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0AD03" w14:textId="010C5BD9" w:rsidR="00F367DD" w:rsidRPr="00530692" w:rsidRDefault="00771A0B" w:rsidP="00F367DD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4566D6">
        <w:rPr>
          <w:noProof/>
        </w:rPr>
        <w:t>1</w:t>
      </w:r>
      <w:r>
        <w:rPr>
          <w:noProof/>
        </w:rPr>
        <w:fldChar w:fldCharType="end"/>
      </w:r>
      <w:r w:rsidR="00F367DD">
        <w:t>. ábra Egy tipikus színes ábra</w:t>
      </w:r>
      <w:r w:rsidR="005A7655">
        <w:t xml:space="preserve"> (bal oldalt), illetve ugyanaz fekete-fehér nyomtatás esetén (jobb oldalt)</w:t>
      </w:r>
      <w:r w:rsidR="00F367DD">
        <w:t>:</w:t>
      </w:r>
      <w:r w:rsidR="005A7655">
        <w:br/>
      </w:r>
      <w:r w:rsidR="00F367DD">
        <w:t>nemcsak színben, de típusban is különböznek a pontok, vonalak</w:t>
      </w:r>
    </w:p>
    <w:p w14:paraId="3F01BAE1" w14:textId="32013C9F" w:rsidR="004566D6" w:rsidRDefault="005A7655" w:rsidP="00F71B9E">
      <w:pPr>
        <w:jc w:val="both"/>
      </w:pPr>
      <w:r>
        <w:t>Ezen az látható, hogy ahol lehet (pl. vonalábráknál) a jelölők, avagy pontok nemcsak színben külön</w:t>
      </w:r>
      <w:r w:rsidR="00F71B9E">
        <w:softHyphen/>
      </w:r>
      <w:r>
        <w:t>böz</w:t>
      </w:r>
      <w:r w:rsidR="00F71B9E">
        <w:softHyphen/>
      </w:r>
      <w:r>
        <w:t>nek, hanem alakjukban is. Hasonlóképp a vonalak, amelyek színükön kívül a szaggatás típusában is meg</w:t>
      </w:r>
      <w:r w:rsidR="00F71B9E">
        <w:softHyphen/>
      </w:r>
      <w:r>
        <w:t>különböződnek, így fekete fehérben is értelmezhetőek.</w:t>
      </w:r>
    </w:p>
    <w:p w14:paraId="385200FE" w14:textId="6A122AE3" w:rsidR="00F71B9E" w:rsidRDefault="00B655F9" w:rsidP="00CB4FDE">
      <w:pPr>
        <w:jc w:val="both"/>
      </w:pPr>
      <w:r>
        <w:t>Azonban valóban volt két olyan ábra (3.6-os és 3.10-es), amelyeknél a lehetőségek ellenére nem lettek fekete-fehérben megkülönböztetve a vonalak. V</w:t>
      </w:r>
      <w:r w:rsidR="00B453C3">
        <w:t xml:space="preserve">annak </w:t>
      </w:r>
      <w:r>
        <w:t xml:space="preserve">továbbá olyan </w:t>
      </w:r>
      <w:r w:rsidR="00B453C3">
        <w:t xml:space="preserve">ábra fajták, </w:t>
      </w:r>
      <w:r w:rsidR="00951117">
        <w:t>amelyek nem vonalábrák, és ezeknél</w:t>
      </w:r>
      <w:r>
        <w:t xml:space="preserve"> nehezebb elérni, hogy fekete-fehérben is ugyanolyan jól átjöjjön az információ. </w:t>
      </w:r>
      <w:r w:rsidR="006A292E">
        <w:t>Ha a szándékaim és lehetőségek ellenére mégsem jól értelmezhetőek az ábrák, azért elnézést kérek.</w:t>
      </w:r>
    </w:p>
    <w:p w14:paraId="143AE06C" w14:textId="2FAC094B" w:rsidR="00626C89" w:rsidRDefault="00626C89" w:rsidP="00626C89">
      <w:pPr>
        <w:pStyle w:val="Cmsor1"/>
        <w:numPr>
          <w:ilvl w:val="0"/>
          <w:numId w:val="3"/>
        </w:numPr>
      </w:pPr>
      <w:r>
        <w:lastRenderedPageBreak/>
        <w:t>kérdés</w:t>
      </w:r>
    </w:p>
    <w:p w14:paraId="5C3C3571" w14:textId="77777777" w:rsidR="002E6AA2" w:rsidRDefault="002E6AA2" w:rsidP="002E6AA2">
      <w:pPr>
        <w:keepNext/>
        <w:jc w:val="center"/>
      </w:pPr>
      <w:r>
        <w:rPr>
          <w:noProof/>
        </w:rPr>
        <w:drawing>
          <wp:inline distT="0" distB="0" distL="0" distR="0" wp14:anchorId="74216D04" wp14:editId="3F4C29A0">
            <wp:extent cx="3156129" cy="2419350"/>
            <wp:effectExtent l="0" t="0" r="6350" b="0"/>
            <wp:docPr id="473" name="Kép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583" cy="243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EDCF6" w14:textId="7D66017F" w:rsidR="002E6AA2" w:rsidRPr="002E6AA2" w:rsidRDefault="00771A0B" w:rsidP="002E6AA2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4566D6">
        <w:rPr>
          <w:noProof/>
        </w:rPr>
        <w:t>3</w:t>
      </w:r>
      <w:r>
        <w:rPr>
          <w:noProof/>
        </w:rPr>
        <w:fldChar w:fldCharType="end"/>
      </w:r>
      <w:r w:rsidR="002E6AA2">
        <w:t>. ábra Az első kérdésben említett ábra</w:t>
      </w:r>
    </w:p>
    <w:p w14:paraId="7D01AA02" w14:textId="19E970C6" w:rsidR="00626C89" w:rsidRDefault="00D91EC5" w:rsidP="00CB4FDE">
      <w:pPr>
        <w:jc w:val="both"/>
      </w:pPr>
      <w:r>
        <w:t xml:space="preserve">Valóban igaz, hogy a sztochasztikus kontinuum-plaszticitás </w:t>
      </w:r>
      <w:r w:rsidR="002F7337">
        <w:t xml:space="preserve">modellben </w:t>
      </w:r>
      <w:r>
        <w:t xml:space="preserve">(azaz SCPM-ben) </w:t>
      </w:r>
      <w:r w:rsidR="002F7337">
        <w:t xml:space="preserve">a korrelációs integrál kitevője lényegesen nagyobb, mint a diszkrét diszlokációdinamikai </w:t>
      </w:r>
      <w:r>
        <w:t>(DDD) szimulációk ese</w:t>
      </w:r>
      <w:r w:rsidR="00F71B9E">
        <w:softHyphen/>
      </w:r>
      <w:r>
        <w:t>té</w:t>
      </w:r>
      <w:r w:rsidR="00F71B9E">
        <w:softHyphen/>
      </w:r>
      <w:r>
        <w:t xml:space="preserve">ben. Az SCPM-ben </w:t>
      </w:r>
      <w:r w:rsidR="002F7337">
        <w:t>mért 2-es kitevő azt fejezi ki, hogy – a vizsgált deformációs tartományon belül – a disz</w:t>
      </w:r>
      <w:r w:rsidR="00CB4FDE">
        <w:softHyphen/>
      </w:r>
      <w:r w:rsidR="002F7337">
        <w:t>lokációlavinák kiinduló pontjai egy 2-es Hausdorff-dimenziójú geometriai alakzatról, vagyis egy síkról indulnak el, ami</w:t>
      </w:r>
      <w:r>
        <w:t xml:space="preserve"> jól</w:t>
      </w:r>
      <w:r w:rsidR="002F7337">
        <w:t xml:space="preserve"> összeegyeztethető azzal az első közelítésben megfelelő képpel, hogy a diszloká</w:t>
      </w:r>
      <w:r w:rsidR="00CB4FDE">
        <w:softHyphen/>
      </w:r>
      <w:r w:rsidR="002F7337">
        <w:t>ci</w:t>
      </w:r>
      <w:r w:rsidR="00CB4FDE">
        <w:softHyphen/>
      </w:r>
      <w:r w:rsidR="002F7337">
        <w:t>ólavinák kezdőpontjainak helyzete egymással korrelálatlanok</w:t>
      </w:r>
      <w:r w:rsidR="003D2AA2">
        <w:t xml:space="preserve"> és 2D-ben helyezkednek el</w:t>
      </w:r>
      <w:r w:rsidR="002F7337">
        <w:t xml:space="preserve">. Ezzel szemben a </w:t>
      </w:r>
      <w:r>
        <w:t>DDD</w:t>
      </w:r>
      <w:r w:rsidR="002F7337">
        <w:t xml:space="preserve"> eredménye azzal a meglepetéssel szolgál, hogy a lavinák egy 2-esnél kisebb, 1,6-es Hausdorff-dimenziójú geometriai alak</w:t>
      </w:r>
      <w:r w:rsidR="00CB4FDE">
        <w:softHyphen/>
      </w:r>
      <w:r w:rsidR="002F7337">
        <w:t>zatról, vagyis egy fraktálról indulnak. Nyitott kérdés, hogy a diszlokációk hosszútávú kölcsönhatása mi módon alakít ki olyan hosszútávú korrelációkat, amely nemcsak itt, de a diszlokációk mintázat</w:t>
      </w:r>
      <w:r w:rsidR="00CB4FDE">
        <w:softHyphen/>
      </w:r>
      <w:r w:rsidR="002F7337">
        <w:t xml:space="preserve">képződésében is fraktálszerű képződményekhez vezet. </w:t>
      </w:r>
      <w:r>
        <w:t xml:space="preserve">Az SCPM eredményei alapján viszont azt sejthetjük, figyelembe véve a </w:t>
      </w:r>
      <w:r w:rsidR="003D2AA2">
        <w:t xml:space="preserve">DDD és SCP </w:t>
      </w:r>
      <w:r>
        <w:t>modellek közti különbségeket, hogy a kétrészecske-korrelációk cellatávolságot meghaladó részének az elhanyagolása, illetve a folyásfeszültségek korrelálatlanságának feltételezése megszünteti a fraktálszerű viselkedést a lavinák elhelyezkedését illetően.</w:t>
      </w:r>
    </w:p>
    <w:p w14:paraId="2B08E3B0" w14:textId="5F15D430" w:rsidR="00626C89" w:rsidRPr="005D299A" w:rsidRDefault="005D299A" w:rsidP="00CB4FDE">
      <w:pPr>
        <w:jc w:val="both"/>
      </w:pPr>
      <w:r>
        <w:t xml:space="preserve">A skálahossz különbözősége – azaz, hogy a TCDDD esetében az korrelációs integrál argumentuma nagyságrendekkel nagyobb – csak amiatt látszik úgy, mert a két korrelációs integrált közös </w:t>
      </w:r>
      <w:r>
        <w:rPr>
          <w:i/>
        </w:rPr>
        <w:t>x</w:t>
      </w:r>
      <w:r>
        <w:t xml:space="preserve"> tengelyre helyeztem, de a tengely skálája – a szokottaktól eltérően – nem folytonos, abban az ábra közepén egy u</w:t>
      </w:r>
      <w:r w:rsidR="0030538A">
        <w:t xml:space="preserve">grás van, amikor is a skála értéke az 1-ről a </w:t>
      </w:r>
      <w:r w:rsidR="00517A25">
        <w:t>1</w:t>
      </w:r>
      <w:r>
        <w:t>0</w:t>
      </w:r>
      <w:r w:rsidRPr="005D299A">
        <w:rPr>
          <w:vertAlign w:val="superscript"/>
        </w:rPr>
        <w:t>-3</w:t>
      </w:r>
      <w:r>
        <w:t xml:space="preserve">-ra csökken, </w:t>
      </w:r>
      <w:r w:rsidR="003D2AA2">
        <w:t>tehát</w:t>
      </w:r>
      <w:r>
        <w:t xml:space="preserve"> a skála nem monoton. Ezt az ugrást igyekeztem jelölni is az ábrán. Ezt az ábrázolási módot azért választottam, hogy a két görbe külön-külön jól látható legyen, és tekintve, hogy általában széltében több hely áll rendelkezésre, praktikusnak éreztem az egyik görbét a másikhoz képest oldalirányban eltolni.</w:t>
      </w:r>
    </w:p>
    <w:p w14:paraId="33869C3B" w14:textId="07296693" w:rsidR="00626C89" w:rsidRDefault="007168BB" w:rsidP="00CB4FDE">
      <w:pPr>
        <w:jc w:val="both"/>
      </w:pPr>
      <w:r>
        <w:t>A</w:t>
      </w:r>
      <w:r w:rsidR="00B50F40">
        <w:t>z eddig egyetlen</w:t>
      </w:r>
      <w:r>
        <w:t xml:space="preserve"> k</w:t>
      </w:r>
      <w:r w:rsidR="008563AE">
        <w:t xml:space="preserve">ísérleti </w:t>
      </w:r>
      <w:r w:rsidR="00B50F40">
        <w:t>tapasztalat</w:t>
      </w:r>
      <w:r w:rsidR="00315D64">
        <w:t xml:space="preserve"> [1]</w:t>
      </w:r>
      <w:r w:rsidR="00B50F40">
        <w:t xml:space="preserve"> – amelynek </w:t>
      </w:r>
      <w:r w:rsidR="003D2AA2">
        <w:t xml:space="preserve">a </w:t>
      </w:r>
      <w:r w:rsidR="00B50F40">
        <w:t>hivatkozását a disszertációban a korrelációs integrál vonatkozásában nem emeltem ki – azt támasztja</w:t>
      </w:r>
      <w:r>
        <w:t xml:space="preserve"> alá, hogy a diszlokációlavinák </w:t>
      </w:r>
      <w:r w:rsidR="00315D64">
        <w:t>térbeli el</w:t>
      </w:r>
      <w:r w:rsidR="00CB4FDE">
        <w:softHyphen/>
      </w:r>
      <w:r w:rsidR="00315D64">
        <w:t xml:space="preserve">helyezkedése a mintában fraktálszerű, ugyanis értéke </w:t>
      </w:r>
      <w:r w:rsidR="00E10BA2">
        <w:t>2,5</w:t>
      </w:r>
      <w:r w:rsidR="00B50F40">
        <w:t xml:space="preserve">, miközben a beágyazási tér dimenziója 3. </w:t>
      </w:r>
      <w:r w:rsidR="003D2AA2">
        <w:t xml:space="preserve">(A szimulációinkban a beágyazási tér dimenziója 2.) </w:t>
      </w:r>
      <w:r w:rsidR="00B50F40">
        <w:t xml:space="preserve">Nehéz ugyanakkor megbecsülni a </w:t>
      </w:r>
      <w:r w:rsidR="003D2AA2">
        <w:t xml:space="preserve">kísérletben kapott eredmény </w:t>
      </w:r>
      <w:r w:rsidR="00B50F40">
        <w:t>mérés</w:t>
      </w:r>
      <w:r w:rsidR="003D2AA2">
        <w:t>i</w:t>
      </w:r>
      <w:r w:rsidR="00B50F40">
        <w:t xml:space="preserve"> hibáját, illetve igazolni, hogy a mérési összeállítás valóban a diszlokációlavinák helyzetét azonosítja-e.</w:t>
      </w:r>
    </w:p>
    <w:p w14:paraId="5467ADAC" w14:textId="5D88802D" w:rsidR="00626C89" w:rsidRDefault="00626C89" w:rsidP="00626C89">
      <w:pPr>
        <w:pStyle w:val="Cmsor1"/>
        <w:numPr>
          <w:ilvl w:val="0"/>
          <w:numId w:val="3"/>
        </w:numPr>
      </w:pPr>
      <w:r>
        <w:lastRenderedPageBreak/>
        <w:t>kérdés</w:t>
      </w:r>
    </w:p>
    <w:p w14:paraId="0ACF22FF" w14:textId="5026C6D6" w:rsidR="006473BB" w:rsidRDefault="009A1409" w:rsidP="00CB4FDE">
      <w:pPr>
        <w:jc w:val="both"/>
      </w:pPr>
      <w:r>
        <w:t>A 4. fejezetben elért eredmények tekintetében valóban megfeledkeztem annak külön jelzéséről, hogy mi volt a konkrét hozzájárulásom a tudományos munkában. Tettem ezt talán éppen azért, mert első</w:t>
      </w:r>
      <w:r w:rsidR="00CB4FDE">
        <w:softHyphen/>
      </w:r>
      <w:r>
        <w:t>szerzőként az eredmények valóban le</w:t>
      </w:r>
      <w:r w:rsidR="006473BB">
        <w:t>gjavát egymagam állítottam elő. Ezek voltak:</w:t>
      </w:r>
    </w:p>
    <w:p w14:paraId="51B481F5" w14:textId="0C2993F1" w:rsidR="006473BB" w:rsidRDefault="006473BB" w:rsidP="006473BB">
      <w:pPr>
        <w:pStyle w:val="Listaszerbekezds"/>
        <w:numPr>
          <w:ilvl w:val="0"/>
          <w:numId w:val="5"/>
        </w:numPr>
      </w:pPr>
      <w:r>
        <w:t>A már megalkotott modell továbbfejlesztése, tesztelése, futtatása</w:t>
      </w:r>
      <w:r w:rsidR="00517A25">
        <w:t>.</w:t>
      </w:r>
    </w:p>
    <w:p w14:paraId="06F2E53B" w14:textId="321D4750" w:rsidR="006473BB" w:rsidRDefault="006473BB" w:rsidP="006473BB">
      <w:pPr>
        <w:pStyle w:val="Listaszerbekezds"/>
        <w:numPr>
          <w:ilvl w:val="0"/>
          <w:numId w:val="5"/>
        </w:numPr>
      </w:pPr>
      <w:r>
        <w:t>Az eredmények összegyűjtése</w:t>
      </w:r>
      <w:r w:rsidR="00517A25">
        <w:t>.</w:t>
      </w:r>
    </w:p>
    <w:p w14:paraId="1DEA4B27" w14:textId="77777777" w:rsidR="00517A25" w:rsidRDefault="00517A25" w:rsidP="006473BB">
      <w:pPr>
        <w:pStyle w:val="Listaszerbekezds"/>
        <w:numPr>
          <w:ilvl w:val="0"/>
          <w:numId w:val="5"/>
        </w:numPr>
      </w:pPr>
      <w:r>
        <w:t>A kapott eredmények kiértékelése</w:t>
      </w:r>
    </w:p>
    <w:p w14:paraId="641CAF28" w14:textId="5B7866AD" w:rsidR="006473BB" w:rsidRDefault="006473BB" w:rsidP="00517A25">
      <w:pPr>
        <w:pStyle w:val="Listaszerbekezds"/>
        <w:numPr>
          <w:ilvl w:val="1"/>
          <w:numId w:val="5"/>
        </w:numPr>
      </w:pPr>
      <w:r>
        <w:t xml:space="preserve">a kiértékeléshez használható jó mennyiségek </w:t>
      </w:r>
      <w:r w:rsidR="00517A25">
        <w:t xml:space="preserve">és szempontok </w:t>
      </w:r>
      <w:r>
        <w:t>kiválasztása</w:t>
      </w:r>
    </w:p>
    <w:p w14:paraId="20D73F93" w14:textId="28934F38" w:rsidR="00517A25" w:rsidRDefault="00517A25" w:rsidP="00517A25">
      <w:pPr>
        <w:pStyle w:val="Listaszerbekezds"/>
        <w:numPr>
          <w:ilvl w:val="1"/>
          <w:numId w:val="5"/>
        </w:numPr>
      </w:pPr>
      <w:r>
        <w:t>a kiértékelő programok megírása, tesztelése, majd futtatása</w:t>
      </w:r>
    </w:p>
    <w:p w14:paraId="6B379DC6" w14:textId="4E0F6B15" w:rsidR="006473BB" w:rsidRDefault="006473BB" w:rsidP="006473BB">
      <w:pPr>
        <w:pStyle w:val="Listaszerbekezds"/>
        <w:numPr>
          <w:ilvl w:val="0"/>
          <w:numId w:val="5"/>
        </w:numPr>
      </w:pPr>
      <w:r>
        <w:t>Az adatok ábrázolása, szöveges értelmezése és kontextusba helyezése</w:t>
      </w:r>
    </w:p>
    <w:p w14:paraId="408BEC8E" w14:textId="7AC6C194" w:rsidR="006473BB" w:rsidRDefault="006473BB" w:rsidP="006473BB">
      <w:pPr>
        <w:pStyle w:val="Listaszerbekezds"/>
        <w:numPr>
          <w:ilvl w:val="0"/>
          <w:numId w:val="5"/>
        </w:numPr>
      </w:pPr>
      <w:r>
        <w:t>A cikk szerkezetének felépítése és a szöveg első változatának elkészítése</w:t>
      </w:r>
    </w:p>
    <w:p w14:paraId="590A8EA3" w14:textId="477E41F0" w:rsidR="00626C89" w:rsidRDefault="009A1409" w:rsidP="00626C89">
      <w:r>
        <w:t>Természetesen mindez nem lett volna lehetséges a társszerzők nélkül.</w:t>
      </w:r>
    </w:p>
    <w:p w14:paraId="5B36E48A" w14:textId="149A7A68" w:rsidR="00500F25" w:rsidRDefault="009A1409" w:rsidP="00CB4FDE">
      <w:pPr>
        <w:pStyle w:val="Listaszerbekezds"/>
        <w:numPr>
          <w:ilvl w:val="0"/>
          <w:numId w:val="4"/>
        </w:numPr>
        <w:jc w:val="both"/>
      </w:pPr>
      <w:r>
        <w:t>Michael Zaiser nélkül, aki</w:t>
      </w:r>
      <w:r w:rsidR="00673ED8">
        <w:t>nek felkeltette az érdeklődését egy másik cikk [2], amelyben</w:t>
      </w:r>
      <w:r w:rsidR="006E2CD1">
        <w:t xml:space="preserve"> egy hasonló modellel vizsgálják a deformáció lokalizációját, ám nem térnek ki a rendezetlenség szerepére. Ő javasolta a témát, és hívta fel rá a figyelmem, hogy a már kidolgozott SCP modellem további fejlesztésével az alakítási lágyulást szenvedő anyagokon érdemben lehetne vizsgálni a deformáció lokalizációját, tekintve, hogy az SCP modell nem támaszkodik elemeiben arra a tényre, hogy a defo</w:t>
      </w:r>
      <w:r w:rsidR="006473BB">
        <w:t xml:space="preserve">rmációt diszlokációk közvetítik. </w:t>
      </w:r>
      <w:r w:rsidR="00E41F4D">
        <w:t>Továbbá a</w:t>
      </w:r>
      <w:r w:rsidR="006473BB">
        <w:t>lapvető szerepe volt az eredmények szakirodalmi kontextusba helyezésénél</w:t>
      </w:r>
      <w:r w:rsidR="00E41F4D">
        <w:t>.</w:t>
      </w:r>
    </w:p>
    <w:p w14:paraId="3D80D1D2" w14:textId="5902F932" w:rsidR="006E2CD1" w:rsidRDefault="00626C89" w:rsidP="00CB4FDE">
      <w:pPr>
        <w:pStyle w:val="Listaszerbekezds"/>
        <w:numPr>
          <w:ilvl w:val="0"/>
          <w:numId w:val="4"/>
        </w:numPr>
        <w:jc w:val="both"/>
      </w:pPr>
      <w:r>
        <w:t xml:space="preserve">Ispánovity Péter nélkül, </w:t>
      </w:r>
      <w:r w:rsidR="006E2CD1">
        <w:t xml:space="preserve">aki </w:t>
      </w:r>
      <w:r w:rsidR="00197895">
        <w:t xml:space="preserve">általános témavezetői segítsége mellett </w:t>
      </w:r>
      <w:r w:rsidR="006E2CD1">
        <w:t>javasolta, hogy vizsgáljuk meg a reziduális</w:t>
      </w:r>
      <w:bookmarkStart w:id="0" w:name="_GoBack"/>
      <w:bookmarkEnd w:id="0"/>
      <w:r w:rsidR="006473BB">
        <w:t>, avagy aktivációs</w:t>
      </w:r>
      <w:r w:rsidR="006E2CD1">
        <w:t xml:space="preserve"> feszültség alakulását a deformáció függvényében, </w:t>
      </w:r>
      <w:r w:rsidR="00517A25">
        <w:t xml:space="preserve">valamint az általam biztosított adatokból ábrázolta ezeket. </w:t>
      </w:r>
    </w:p>
    <w:p w14:paraId="1B5C68B1" w14:textId="29ADB3BD" w:rsidR="00517A25" w:rsidRDefault="00517A25" w:rsidP="00517A25">
      <w:pPr>
        <w:pStyle w:val="Cmsor1"/>
        <w:numPr>
          <w:ilvl w:val="0"/>
          <w:numId w:val="4"/>
        </w:numPr>
      </w:pPr>
      <w:r>
        <w:t>kérdés</w:t>
      </w:r>
    </w:p>
    <w:p w14:paraId="07D530E1" w14:textId="2D7DC3B6" w:rsidR="00FD1B51" w:rsidRPr="00FD1B51" w:rsidRDefault="00283195" w:rsidP="00FD1B51">
      <w:r>
        <w:t>A legkiválóbb példa a belső rendezetlenséggel rendelkező, alakítási lágyulást szenvedő anyagokra a fémüvegek [3</w:t>
      </w:r>
      <w:r w:rsidR="00771A0B">
        <w:t>,5</w:t>
      </w:r>
      <w:r>
        <w:t>]. Ezen anyagoknál éppen a deformáció lokalizációj</w:t>
      </w:r>
      <w:r w:rsidR="0013007D">
        <w:t>a okozza a törést. Hasonló példát jelenthetnek még a fémhabok [4].</w:t>
      </w:r>
    </w:p>
    <w:p w14:paraId="37E77AB4" w14:textId="72E97950" w:rsidR="00283195" w:rsidRPr="00771A0B" w:rsidRDefault="00B50F40" w:rsidP="00626C8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771A0B">
        <w:rPr>
          <w:rFonts w:asciiTheme="majorHAnsi" w:hAnsiTheme="majorHAnsi" w:cstheme="majorHAnsi"/>
          <w:sz w:val="24"/>
          <w:szCs w:val="24"/>
        </w:rPr>
        <w:t xml:space="preserve">[1]: </w:t>
      </w:r>
      <w:hyperlink r:id="rId7" w:history="1"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Jérôme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Weiss and David Marsan.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Three-dimensional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mapping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of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dislocation</w:t>
        </w:r>
        <w:proofErr w:type="spellEnd"/>
        <w:r w:rsidR="00771A0B"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avalanches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: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clustering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and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space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/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time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coupling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. </w:t>
        </w:r>
        <w:r w:rsidRPr="00771A0B">
          <w:rPr>
            <w:rStyle w:val="Hiperhivatkozs"/>
            <w:rFonts w:asciiTheme="majorHAnsi" w:hAnsiTheme="majorHAnsi" w:cstheme="majorHAnsi"/>
            <w:i/>
            <w:iCs/>
            <w:sz w:val="24"/>
            <w:szCs w:val="24"/>
          </w:rPr>
          <w:t>Science</w:t>
        </w:r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, 299(5603):89–92, 2003.</w:t>
        </w:r>
      </w:hyperlink>
    </w:p>
    <w:p w14:paraId="7D40B759" w14:textId="32F20FF9" w:rsidR="00283195" w:rsidRPr="00771A0B" w:rsidRDefault="00626C89" w:rsidP="00283195">
      <w:pPr>
        <w:autoSpaceDE w:val="0"/>
        <w:autoSpaceDN w:val="0"/>
        <w:adjustRightInd w:val="0"/>
        <w:spacing w:after="0" w:line="240" w:lineRule="auto"/>
        <w:rPr>
          <w:rStyle w:val="Hiperhivatkozs"/>
          <w:rFonts w:asciiTheme="majorHAnsi" w:hAnsiTheme="majorHAnsi" w:cstheme="majorHAnsi"/>
          <w:sz w:val="24"/>
          <w:szCs w:val="24"/>
        </w:rPr>
      </w:pPr>
      <w:r w:rsidRPr="00771A0B">
        <w:rPr>
          <w:rFonts w:asciiTheme="majorHAnsi" w:hAnsiTheme="majorHAnsi" w:cstheme="majorHAnsi"/>
          <w:sz w:val="24"/>
          <w:szCs w:val="24"/>
        </w:rPr>
        <w:t xml:space="preserve">[2]: </w:t>
      </w:r>
      <w:hyperlink r:id="rId8" w:history="1"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Zoe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Budrikis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and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Stefano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Zapperi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.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Avalanche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localization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and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crossover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scaling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in</w:t>
        </w:r>
        <w:r w:rsidR="00771A0B"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amorphous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plasticity.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Phys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.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Rev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. E, 88:062403, Dec 2013.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doi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: 10.1103/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PhysRevE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.</w:t>
        </w:r>
        <w:r w:rsidR="00771A0B"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</w:t>
        </w:r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88.062403.</w:t>
        </w:r>
      </w:hyperlink>
    </w:p>
    <w:p w14:paraId="0B5B89F8" w14:textId="39F2D605" w:rsidR="00771A0B" w:rsidRPr="00771A0B" w:rsidRDefault="00771A0B" w:rsidP="002831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771A0B">
        <w:rPr>
          <w:rFonts w:asciiTheme="majorHAnsi" w:hAnsiTheme="majorHAnsi" w:cstheme="majorHAnsi"/>
          <w:sz w:val="24"/>
          <w:szCs w:val="24"/>
        </w:rPr>
        <w:t xml:space="preserve">[3]: </w:t>
      </w:r>
      <w:hyperlink r:id="rId9" w:history="1"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Jaewon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Heo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,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Sunghwan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Kim,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Seunghwa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Ryu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,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Dongchan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Jang</w:t>
        </w:r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.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Delocalized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Plastic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Flow in Proton-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Irradiated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Monolithic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Metallic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Glasses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.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Scientific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Reports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volume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6,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Article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number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: 23244 (2016)</w:t>
        </w:r>
      </w:hyperlink>
    </w:p>
    <w:p w14:paraId="6C8D8A12" w14:textId="65552DCC" w:rsidR="0013007D" w:rsidRPr="00771A0B" w:rsidRDefault="0013007D" w:rsidP="0013007D">
      <w:pPr>
        <w:autoSpaceDE w:val="0"/>
        <w:autoSpaceDN w:val="0"/>
        <w:adjustRightInd w:val="0"/>
        <w:spacing w:after="0" w:line="240" w:lineRule="auto"/>
        <w:rPr>
          <w:rStyle w:val="Hiperhivatkozs"/>
          <w:rFonts w:asciiTheme="majorHAnsi" w:hAnsiTheme="majorHAnsi" w:cstheme="majorHAnsi"/>
          <w:sz w:val="24"/>
          <w:szCs w:val="24"/>
        </w:rPr>
      </w:pPr>
      <w:r w:rsidRPr="00771A0B">
        <w:rPr>
          <w:rFonts w:asciiTheme="majorHAnsi" w:hAnsiTheme="majorHAnsi" w:cstheme="majorHAnsi"/>
          <w:sz w:val="24"/>
          <w:szCs w:val="24"/>
        </w:rPr>
        <w:t xml:space="preserve">[4]: </w:t>
      </w:r>
      <w:proofErr w:type="spellStart"/>
      <w:r w:rsidRPr="00771A0B">
        <w:rPr>
          <w:rStyle w:val="Hiperhivatkozs"/>
          <w:rFonts w:asciiTheme="majorHAnsi" w:hAnsiTheme="majorHAnsi" w:cstheme="majorHAnsi"/>
          <w:sz w:val="24"/>
          <w:szCs w:val="24"/>
        </w:rPr>
        <w:t>Zaiser</w:t>
      </w:r>
      <w:proofErr w:type="spellEnd"/>
      <w:r w:rsidRPr="00771A0B">
        <w:rPr>
          <w:rStyle w:val="Hiperhivatkozs"/>
          <w:rFonts w:asciiTheme="majorHAnsi" w:hAnsiTheme="majorHAnsi" w:cstheme="majorHAnsi"/>
          <w:sz w:val="24"/>
          <w:szCs w:val="24"/>
        </w:rPr>
        <w:t xml:space="preserve"> M, Mill F, </w:t>
      </w:r>
      <w:proofErr w:type="spellStart"/>
      <w:r w:rsidRPr="00771A0B">
        <w:rPr>
          <w:rStyle w:val="Hiperhivatkozs"/>
          <w:rFonts w:asciiTheme="majorHAnsi" w:hAnsiTheme="majorHAnsi" w:cstheme="majorHAnsi"/>
          <w:sz w:val="24"/>
          <w:szCs w:val="24"/>
        </w:rPr>
        <w:t>Konstantinidis</w:t>
      </w:r>
      <w:proofErr w:type="spellEnd"/>
      <w:r w:rsidRPr="00771A0B">
        <w:rPr>
          <w:rStyle w:val="Hiperhivatkozs"/>
          <w:rFonts w:asciiTheme="majorHAnsi" w:hAnsiTheme="majorHAnsi" w:cstheme="majorHAnsi"/>
          <w:sz w:val="24"/>
          <w:szCs w:val="24"/>
        </w:rPr>
        <w:t xml:space="preserve"> A, </w:t>
      </w:r>
      <w:proofErr w:type="spellStart"/>
      <w:r w:rsidRPr="00771A0B">
        <w:rPr>
          <w:rStyle w:val="Hiperhivatkozs"/>
          <w:rFonts w:asciiTheme="majorHAnsi" w:hAnsiTheme="majorHAnsi" w:cstheme="majorHAnsi"/>
          <w:sz w:val="24"/>
          <w:szCs w:val="24"/>
        </w:rPr>
        <w:t>Aifantis</w:t>
      </w:r>
      <w:proofErr w:type="spellEnd"/>
      <w:r w:rsidRPr="00771A0B">
        <w:rPr>
          <w:rStyle w:val="Hiperhivatkozs"/>
          <w:rFonts w:asciiTheme="majorHAnsi" w:hAnsiTheme="majorHAnsi" w:cstheme="majorHAnsi"/>
          <w:sz w:val="24"/>
          <w:szCs w:val="24"/>
        </w:rPr>
        <w:t xml:space="preserve"> K (2013) </w:t>
      </w:r>
      <w:proofErr w:type="spellStart"/>
      <w:r w:rsidRPr="00771A0B">
        <w:rPr>
          <w:rStyle w:val="Hiperhivatkozs"/>
          <w:rFonts w:asciiTheme="majorHAnsi" w:hAnsiTheme="majorHAnsi" w:cstheme="majorHAnsi"/>
          <w:sz w:val="24"/>
          <w:szCs w:val="24"/>
        </w:rPr>
        <w:t>Strain</w:t>
      </w:r>
      <w:proofErr w:type="spellEnd"/>
      <w:r w:rsidRPr="00771A0B">
        <w:rPr>
          <w:rStyle w:val="Hiperhivatkozs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71A0B">
        <w:rPr>
          <w:rStyle w:val="Hiperhivatkozs"/>
          <w:rFonts w:asciiTheme="majorHAnsi" w:hAnsiTheme="majorHAnsi" w:cstheme="majorHAnsi"/>
          <w:sz w:val="24"/>
          <w:szCs w:val="24"/>
        </w:rPr>
        <w:t>localization</w:t>
      </w:r>
      <w:proofErr w:type="spellEnd"/>
      <w:r w:rsidRPr="00771A0B">
        <w:rPr>
          <w:rStyle w:val="Hiperhivatkozs"/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771A0B">
        <w:rPr>
          <w:rStyle w:val="Hiperhivatkozs"/>
          <w:rFonts w:asciiTheme="majorHAnsi" w:hAnsiTheme="majorHAnsi" w:cstheme="majorHAnsi"/>
          <w:sz w:val="24"/>
          <w:szCs w:val="24"/>
        </w:rPr>
        <w:t>strain</w:t>
      </w:r>
      <w:proofErr w:type="spellEnd"/>
      <w:r w:rsidRPr="00771A0B">
        <w:rPr>
          <w:rStyle w:val="Hiperhivatkozs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71A0B">
        <w:rPr>
          <w:rStyle w:val="Hiperhivatkozs"/>
          <w:rFonts w:asciiTheme="majorHAnsi" w:hAnsiTheme="majorHAnsi" w:cstheme="majorHAnsi"/>
          <w:sz w:val="24"/>
          <w:szCs w:val="24"/>
        </w:rPr>
        <w:t>propagation</w:t>
      </w:r>
      <w:proofErr w:type="spellEnd"/>
      <w:r w:rsidRPr="00771A0B">
        <w:rPr>
          <w:rStyle w:val="Hiperhivatkozs"/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771A0B">
        <w:rPr>
          <w:rStyle w:val="Hiperhivatkozs"/>
          <w:rFonts w:asciiTheme="majorHAnsi" w:hAnsiTheme="majorHAnsi" w:cstheme="majorHAnsi"/>
          <w:sz w:val="24"/>
          <w:szCs w:val="24"/>
        </w:rPr>
        <w:t>collapsible</w:t>
      </w:r>
      <w:proofErr w:type="spellEnd"/>
      <w:r w:rsidRPr="00771A0B">
        <w:rPr>
          <w:rStyle w:val="Hiperhivatkozs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71A0B">
        <w:rPr>
          <w:rStyle w:val="Hiperhivatkozs"/>
          <w:rFonts w:asciiTheme="majorHAnsi" w:hAnsiTheme="majorHAnsi" w:cstheme="majorHAnsi"/>
          <w:sz w:val="24"/>
          <w:szCs w:val="24"/>
        </w:rPr>
        <w:t>solid</w:t>
      </w:r>
      <w:proofErr w:type="spellEnd"/>
      <w:r w:rsidRPr="00771A0B">
        <w:rPr>
          <w:rStyle w:val="Hiperhivatkozs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71A0B">
        <w:rPr>
          <w:rStyle w:val="Hiperhivatkozs"/>
          <w:rFonts w:asciiTheme="majorHAnsi" w:hAnsiTheme="majorHAnsi" w:cstheme="majorHAnsi"/>
          <w:sz w:val="24"/>
          <w:szCs w:val="24"/>
        </w:rPr>
        <w:t>foams</w:t>
      </w:r>
      <w:proofErr w:type="spellEnd"/>
      <w:r w:rsidRPr="00771A0B">
        <w:rPr>
          <w:rStyle w:val="Hiperhivatkozs"/>
          <w:rFonts w:asciiTheme="majorHAnsi" w:hAnsiTheme="majorHAnsi" w:cstheme="majorHAnsi"/>
          <w:sz w:val="24"/>
          <w:szCs w:val="24"/>
        </w:rPr>
        <w:t xml:space="preserve">. Mater </w:t>
      </w:r>
      <w:proofErr w:type="spellStart"/>
      <w:r w:rsidRPr="00771A0B">
        <w:rPr>
          <w:rStyle w:val="Hiperhivatkozs"/>
          <w:rFonts w:asciiTheme="majorHAnsi" w:hAnsiTheme="majorHAnsi" w:cstheme="majorHAnsi"/>
          <w:sz w:val="24"/>
          <w:szCs w:val="24"/>
        </w:rPr>
        <w:t>Sci</w:t>
      </w:r>
      <w:proofErr w:type="spellEnd"/>
      <w:r w:rsidRPr="00771A0B">
        <w:rPr>
          <w:rStyle w:val="Hiperhivatkozs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71A0B">
        <w:rPr>
          <w:rStyle w:val="Hiperhivatkozs"/>
          <w:rFonts w:asciiTheme="majorHAnsi" w:hAnsiTheme="majorHAnsi" w:cstheme="majorHAnsi"/>
          <w:sz w:val="24"/>
          <w:szCs w:val="24"/>
        </w:rPr>
        <w:t>Eng</w:t>
      </w:r>
      <w:proofErr w:type="spellEnd"/>
      <w:r w:rsidRPr="00771A0B">
        <w:rPr>
          <w:rStyle w:val="Hiperhivatkozs"/>
          <w:rFonts w:asciiTheme="majorHAnsi" w:hAnsiTheme="majorHAnsi" w:cstheme="majorHAnsi"/>
          <w:sz w:val="24"/>
          <w:szCs w:val="24"/>
        </w:rPr>
        <w:t xml:space="preserve"> A 567:38–45</w:t>
      </w:r>
    </w:p>
    <w:p w14:paraId="46C2F1DF" w14:textId="6090ED72" w:rsidR="00771A0B" w:rsidRPr="00771A0B" w:rsidRDefault="00771A0B" w:rsidP="0013007D">
      <w:pPr>
        <w:autoSpaceDE w:val="0"/>
        <w:autoSpaceDN w:val="0"/>
        <w:adjustRightInd w:val="0"/>
        <w:spacing w:after="0" w:line="240" w:lineRule="auto"/>
        <w:rPr>
          <w:rStyle w:val="Hiperhivatkozs"/>
          <w:rFonts w:asciiTheme="majorHAnsi" w:hAnsiTheme="majorHAnsi" w:cstheme="majorHAnsi"/>
          <w:sz w:val="24"/>
          <w:szCs w:val="24"/>
        </w:rPr>
      </w:pPr>
      <w:r w:rsidRPr="00771A0B">
        <w:rPr>
          <w:rFonts w:asciiTheme="majorHAnsi" w:hAnsiTheme="majorHAnsi" w:cstheme="majorHAnsi"/>
          <w:sz w:val="24"/>
          <w:szCs w:val="24"/>
        </w:rPr>
        <w:t xml:space="preserve">[5]: </w:t>
      </w:r>
      <w:hyperlink r:id="rId10" w:history="1"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Christopher A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Schuh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, Todd C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Hufnagel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, and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Upadrasta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Ramamurty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.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Mechanical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behavior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of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amorphous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alloys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.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Acta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 xml:space="preserve"> </w:t>
        </w:r>
        <w:proofErr w:type="spellStart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Materialia</w:t>
        </w:r>
        <w:proofErr w:type="spellEnd"/>
        <w:r w:rsidRPr="00771A0B">
          <w:rPr>
            <w:rStyle w:val="Hiperhivatkozs"/>
            <w:rFonts w:asciiTheme="majorHAnsi" w:hAnsiTheme="majorHAnsi" w:cstheme="majorHAnsi"/>
            <w:sz w:val="24"/>
            <w:szCs w:val="24"/>
          </w:rPr>
          <w:t>, 55(12):4067–4109, 2007.</w:t>
        </w:r>
      </w:hyperlink>
    </w:p>
    <w:sectPr w:rsidR="00771A0B" w:rsidRPr="00771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958B0"/>
    <w:multiLevelType w:val="hybridMultilevel"/>
    <w:tmpl w:val="FF340F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93DE1"/>
    <w:multiLevelType w:val="hybridMultilevel"/>
    <w:tmpl w:val="74A09A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23F67"/>
    <w:multiLevelType w:val="hybridMultilevel"/>
    <w:tmpl w:val="0A1C50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07740"/>
    <w:multiLevelType w:val="hybridMultilevel"/>
    <w:tmpl w:val="51E4E7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32D95"/>
    <w:multiLevelType w:val="hybridMultilevel"/>
    <w:tmpl w:val="74A09A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55"/>
    <w:rsid w:val="000F1D8E"/>
    <w:rsid w:val="0010665B"/>
    <w:rsid w:val="0013007D"/>
    <w:rsid w:val="00197895"/>
    <w:rsid w:val="001E4A92"/>
    <w:rsid w:val="00283195"/>
    <w:rsid w:val="002E6AA2"/>
    <w:rsid w:val="002F7337"/>
    <w:rsid w:val="0030538A"/>
    <w:rsid w:val="00315D64"/>
    <w:rsid w:val="003B1BAA"/>
    <w:rsid w:val="003D2AA2"/>
    <w:rsid w:val="004566D6"/>
    <w:rsid w:val="004841AA"/>
    <w:rsid w:val="00500F25"/>
    <w:rsid w:val="00517A25"/>
    <w:rsid w:val="00530692"/>
    <w:rsid w:val="005A7655"/>
    <w:rsid w:val="005D299A"/>
    <w:rsid w:val="00626C89"/>
    <w:rsid w:val="006473BB"/>
    <w:rsid w:val="00672AD5"/>
    <w:rsid w:val="00673ED8"/>
    <w:rsid w:val="006A292E"/>
    <w:rsid w:val="006E2CD1"/>
    <w:rsid w:val="007168BB"/>
    <w:rsid w:val="00771A0B"/>
    <w:rsid w:val="007C26F2"/>
    <w:rsid w:val="0084434E"/>
    <w:rsid w:val="008563AE"/>
    <w:rsid w:val="009400BE"/>
    <w:rsid w:val="00951117"/>
    <w:rsid w:val="00963055"/>
    <w:rsid w:val="009A1409"/>
    <w:rsid w:val="009B2802"/>
    <w:rsid w:val="00B1359E"/>
    <w:rsid w:val="00B453C3"/>
    <w:rsid w:val="00B50F40"/>
    <w:rsid w:val="00B655F9"/>
    <w:rsid w:val="00CB4FDE"/>
    <w:rsid w:val="00D91EC5"/>
    <w:rsid w:val="00E10BA2"/>
    <w:rsid w:val="00E41F4D"/>
    <w:rsid w:val="00E96767"/>
    <w:rsid w:val="00F367DD"/>
    <w:rsid w:val="00F71B9E"/>
    <w:rsid w:val="00FD1B51"/>
    <w:rsid w:val="00FF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94346"/>
  <w15:chartTrackingRefBased/>
  <w15:docId w15:val="{4A354DCE-3C4A-4834-83D5-A3972541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26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44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44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443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84434E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84434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50F4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50F40"/>
    <w:rPr>
      <w:color w:val="808080"/>
      <w:shd w:val="clear" w:color="auto" w:fill="E6E6E6"/>
    </w:rPr>
  </w:style>
  <w:style w:type="character" w:customStyle="1" w:styleId="Cmsor1Char">
    <w:name w:val="Címsor 1 Char"/>
    <w:basedOn w:val="Bekezdsalapbettpusa"/>
    <w:link w:val="Cmsor1"/>
    <w:uiPriority w:val="9"/>
    <w:rsid w:val="00626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rltotthiperhivatkozs">
    <w:name w:val="FollowedHyperlink"/>
    <w:basedOn w:val="Bekezdsalapbettpusa"/>
    <w:uiPriority w:val="99"/>
    <w:semiHidden/>
    <w:unhideWhenUsed/>
    <w:rsid w:val="00673ED8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2E6A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F1D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F1D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aps.org/doi/10.1103/PhysRevE.88.0624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ence.sciencemag.org/content/299/5603/8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www.sciencedirect.com/science/article/pii/S135964540700122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rep23244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876</Words>
  <Characters>6047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Tüzes Dániel</dc:creator>
  <cp:keywords/>
  <dc:description/>
  <cp:lastModifiedBy>D Tüzes</cp:lastModifiedBy>
  <cp:revision>6</cp:revision>
  <dcterms:created xsi:type="dcterms:W3CDTF">2019-04-15T13:01:00Z</dcterms:created>
  <dcterms:modified xsi:type="dcterms:W3CDTF">2019-04-22T12:39:00Z</dcterms:modified>
</cp:coreProperties>
</file>