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Times New Roman" w:hAnsi="Times New Roman"/>
          <w:b w:val="0"/>
          <w:i/>
          <w:color w:val="8B0000"/>
          <w:sz w:val="19"/>
        </w:rPr>
        <w:t>[ Working note — delete before submission. ] Tables II–VIII are pre-formatted with empty cells; fill them once the cleanroom measurements are in. The first column of every measurement table is labelled “Sample / condition” so the same section serves both papers: for the molten-solder paper put the paste alloy and pad finish there (e.g. SAC305 / ENIG, TS391LT Sn42Bi57.6Ag0.4 / ENIG); for the liquid-assisted-assembly paper put the assembly medium or process variant. Symbols are real Word sub/superscripts, so they edit like normal text. Citation placeholders read “[ref]”.</w:t>
      </w:r>
    </w:p>
    <w:p>
      <w:pPr>
        <w:pStyle w:val="Heading1"/>
      </w:pPr>
      <w:r>
        <w:rPr>
          <w:rFonts w:ascii="Times New Roman" w:hAnsi="Times New Roman"/>
          <w:b w:val="0"/>
          <w:i w:val="0"/>
          <w:color w:val="000000"/>
          <w:sz w:val="22"/>
        </w:rPr>
        <w:t>Electrical characterization</w:t>
      </w:r>
    </w:p>
    <w:p>
      <w:pPr>
        <w:spacing w:after="120" w:before="0"/>
      </w:pPr>
      <w:r>
        <w:rPr>
          <w:rFonts w:ascii="Times New Roman" w:hAnsi="Times New Roman"/>
          <w:b w:val="0"/>
          <w:i w:val="0"/>
          <w:sz w:val="22"/>
        </w:rPr>
        <w:t>Once the micro-LEDs are bonded, each populated coupon is characterized electrically to confirm that the joints carry current and to quantify joint quality independently of the optical result. Five quantities are extracted on the same ENIG substrate and, where possible, on the same coupon: daisy-chain bond resistance and yield, the LED forward voltage and current–voltage (I–V) characteristic, the specific contact resistivity from transmission-line structures, the sheet resistance from van der Pauw cloverleaves, and the junction-to-substrate thermal resistance from forward-voltage thermometry. Impedance spectroscopy is an optional sixth measurement that resolves the joint into an equivalent circuit. All structures are contacted with four-wire (Kelvin) probes to remove lead and contact resistance from the reading. Table I lists the instruments and the structure used for each quantity.</w:t>
      </w:r>
    </w:p>
    <w:p>
      <w:pPr>
        <w:spacing w:before="160" w:after="60"/>
      </w:pPr>
      <w:r>
        <w:rPr>
          <w:rFonts w:ascii="Times New Roman" w:hAnsi="Times New Roman"/>
          <w:b/>
          <w:i w:val="0"/>
          <w:sz w:val="19"/>
        </w:rPr>
        <w:t>Table I. Measurement setup: quantity, on-board test structure, instrument, and excitation.</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D9E2F3"/>
          </w:tcPr>
          <w:p>
            <w:pPr>
              <w:spacing w:after="20" w:before="20"/>
              <w:jc w:val="center"/>
            </w:pPr>
            <w:r/>
            <w:r>
              <w:rPr>
                <w:rFonts w:ascii="Times New Roman" w:hAnsi="Times New Roman"/>
                <w:b/>
                <w:i w:val="0"/>
                <w:sz w:val="19"/>
              </w:rPr>
              <w:t>Quantity</w:t>
            </w:r>
          </w:p>
        </w:tc>
        <w:tc>
          <w:tcPr>
            <w:tcW w:type="dxa" w:w="2160"/>
            <w:shd w:val="clear" w:color="auto" w:fill="D9E2F3"/>
          </w:tcPr>
          <w:p>
            <w:pPr>
              <w:spacing w:after="20" w:before="20"/>
              <w:jc w:val="center"/>
            </w:pPr>
            <w:r/>
            <w:r>
              <w:rPr>
                <w:rFonts w:ascii="Times New Roman" w:hAnsi="Times New Roman"/>
                <w:b/>
                <w:i w:val="0"/>
                <w:sz w:val="19"/>
              </w:rPr>
              <w:t>Test structure</w:t>
            </w:r>
          </w:p>
        </w:tc>
        <w:tc>
          <w:tcPr>
            <w:tcW w:type="dxa" w:w="2160"/>
            <w:shd w:val="clear" w:color="auto" w:fill="D9E2F3"/>
          </w:tcPr>
          <w:p>
            <w:pPr>
              <w:spacing w:after="20" w:before="20"/>
              <w:jc w:val="center"/>
            </w:pPr>
            <w:r/>
            <w:r>
              <w:rPr>
                <w:rFonts w:ascii="Times New Roman" w:hAnsi="Times New Roman"/>
                <w:b/>
                <w:i w:val="0"/>
                <w:sz w:val="19"/>
              </w:rPr>
              <w:t>Instrument</w:t>
            </w:r>
          </w:p>
        </w:tc>
        <w:tc>
          <w:tcPr>
            <w:tcW w:type="dxa" w:w="2160"/>
            <w:shd w:val="clear" w:color="auto" w:fill="D9E2F3"/>
          </w:tcPr>
          <w:p>
            <w:pPr>
              <w:spacing w:after="20" w:before="20"/>
              <w:jc w:val="center"/>
            </w:pPr>
            <w:r/>
            <w:r>
              <w:rPr>
                <w:rFonts w:ascii="Times New Roman" w:hAnsi="Times New Roman"/>
                <w:b/>
                <w:i w:val="0"/>
                <w:sz w:val="19"/>
              </w:rPr>
              <w:t>Excitation / conditions</w:t>
            </w:r>
          </w:p>
        </w:tc>
      </w:tr>
      <w:tr>
        <w:tc>
          <w:tcPr>
            <w:tcW w:type="dxa" w:w="2160"/>
          </w:tcPr>
          <w:p>
            <w:pPr>
              <w:spacing w:after="20" w:before="20"/>
            </w:pPr>
            <w:r/>
            <w:r>
              <w:rPr>
                <w:rFonts w:ascii="Times New Roman" w:hAnsi="Times New Roman"/>
                <w:b w:val="0"/>
                <w:i w:val="0"/>
                <w:sz w:val="19"/>
              </w:rPr>
              <w:t>Bond / chain resistance</w:t>
            </w:r>
          </w:p>
        </w:tc>
        <w:tc>
          <w:tcPr>
            <w:tcW w:type="dxa" w:w="2160"/>
          </w:tcPr>
          <w:p>
            <w:pPr>
              <w:spacing w:after="20" w:before="20"/>
            </w:pPr>
            <w:r/>
            <w:r>
              <w:rPr>
                <w:rFonts w:ascii="Times New Roman" w:hAnsi="Times New Roman"/>
                <w:b w:val="0"/>
                <w:i w:val="0"/>
                <w:sz w:val="19"/>
              </w:rPr>
              <w:t>Daisy chains DCL6, DCL12 (2N bonds)</w:t>
            </w:r>
          </w:p>
        </w:tc>
        <w:tc>
          <w:tcPr>
            <w:tcW w:type="dxa" w:w="2160"/>
          </w:tcPr>
          <w:p>
            <w:pPr>
              <w:spacing w:after="20" w:before="20"/>
            </w:pPr>
            <w:r/>
            <w:r>
              <w:rPr>
                <w:rFonts w:ascii="Times New Roman" w:hAnsi="Times New Roman"/>
                <w:b w:val="0"/>
                <w:i w:val="0"/>
                <w:sz w:val="19"/>
              </w:rPr>
              <w:t>Keithley 2450 SourceMeter, 4-wire</w:t>
            </w:r>
          </w:p>
        </w:tc>
        <w:tc>
          <w:tcPr>
            <w:tcW w:type="dxa" w:w="2160"/>
          </w:tcPr>
          <w:p>
            <w:pPr>
              <w:spacing w:after="20" w:before="20"/>
            </w:pPr>
            <w:r/>
            <w:r>
              <w:rPr>
                <w:rFonts w:ascii="Times New Roman" w:hAnsi="Times New Roman"/>
                <w:b w:val="0"/>
                <w:i w:val="0"/>
                <w:sz w:val="19"/>
              </w:rPr>
              <w:t>DC, I-sweep</w:t>
            </w:r>
          </w:p>
        </w:tc>
      </w:tr>
      <w:tr>
        <w:tc>
          <w:tcPr>
            <w:tcW w:type="dxa" w:w="2160"/>
          </w:tcPr>
          <w:p>
            <w:pPr>
              <w:spacing w:after="20" w:before="20"/>
            </w:pPr>
            <w:r/>
            <w:r>
              <w:rPr>
                <w:rFonts w:ascii="Times New Roman" w:hAnsi="Times New Roman"/>
                <w:b w:val="0"/>
                <w:i w:val="0"/>
                <w:sz w:val="19"/>
              </w:rPr>
              <w:t>Forward voltage &amp; I–V</w:t>
            </w:r>
          </w:p>
        </w:tc>
        <w:tc>
          <w:tcPr>
            <w:tcW w:type="dxa" w:w="2160"/>
          </w:tcPr>
          <w:p>
            <w:pPr>
              <w:spacing w:after="20" w:before="20"/>
            </w:pPr>
            <w:r/>
            <w:r>
              <w:rPr>
                <w:rFonts w:ascii="Times New Roman" w:hAnsi="Times New Roman"/>
                <w:b w:val="0"/>
                <w:i w:val="0"/>
                <w:sz w:val="19"/>
              </w:rPr>
              <w:t>Bonded LED, four bottom contacts</w:t>
            </w:r>
          </w:p>
        </w:tc>
        <w:tc>
          <w:tcPr>
            <w:tcW w:type="dxa" w:w="2160"/>
          </w:tcPr>
          <w:p>
            <w:pPr>
              <w:spacing w:after="20" w:before="20"/>
            </w:pPr>
            <w:r/>
            <w:r>
              <w:rPr>
                <w:rFonts w:ascii="Times New Roman" w:hAnsi="Times New Roman"/>
                <w:b w:val="0"/>
                <w:i w:val="0"/>
                <w:sz w:val="19"/>
              </w:rPr>
              <w:t>Keithley 2450 SourceMeter</w:t>
            </w:r>
          </w:p>
        </w:tc>
        <w:tc>
          <w:tcPr>
            <w:tcW w:type="dxa" w:w="2160"/>
          </w:tcPr>
          <w:p>
            <w:pPr>
              <w:spacing w:after="20" w:before="20"/>
            </w:pPr>
            <w:r/>
            <w:r>
              <w:rPr>
                <w:rFonts w:ascii="Times New Roman" w:hAnsi="Times New Roman"/>
                <w:b w:val="0"/>
                <w:i w:val="0"/>
                <w:sz w:val="19"/>
              </w:rPr>
              <w:t>I = 10 mA (sense); ± sweep</w:t>
            </w:r>
          </w:p>
        </w:tc>
      </w:tr>
      <w:tr>
        <w:tc>
          <w:tcPr>
            <w:tcW w:type="dxa" w:w="2160"/>
          </w:tcPr>
          <w:p>
            <w:pPr>
              <w:spacing w:after="20" w:before="20"/>
            </w:pPr>
            <w:r/>
            <w:r>
              <w:rPr>
                <w:rFonts w:ascii="Times New Roman" w:hAnsi="Times New Roman"/>
                <w:b w:val="0"/>
                <w:i w:val="0"/>
                <w:sz w:val="19"/>
              </w:rPr>
              <w:t>Specific contact resistivity ρ</w:t>
            </w:r>
            <w:r>
              <w:rPr>
                <w:rFonts w:ascii="Times New Roman" w:hAnsi="Times New Roman"/>
                <w:b w:val="0"/>
                <w:i w:val="0"/>
                <w:sz w:val="19"/>
                <w:vertAlign w:val="subscript"/>
              </w:rPr>
              <w:t>c</w:t>
            </w:r>
          </w:p>
        </w:tc>
        <w:tc>
          <w:tcPr>
            <w:tcW w:type="dxa" w:w="2160"/>
          </w:tcPr>
          <w:p>
            <w:pPr>
              <w:spacing w:after="20" w:before="20"/>
            </w:pPr>
            <w:r/>
            <w:r>
              <w:rPr>
                <w:rFonts w:ascii="Times New Roman" w:hAnsi="Times New Roman"/>
                <w:b w:val="0"/>
                <w:i w:val="0"/>
                <w:sz w:val="19"/>
              </w:rPr>
              <w:t>TLM ladders, W ∈ {0.25, 0.5, 1.0} mm</w:t>
            </w:r>
          </w:p>
        </w:tc>
        <w:tc>
          <w:tcPr>
            <w:tcW w:type="dxa" w:w="2160"/>
          </w:tcPr>
          <w:p>
            <w:pPr>
              <w:spacing w:after="20" w:before="20"/>
            </w:pPr>
            <w:r/>
            <w:r>
              <w:rPr>
                <w:rFonts w:ascii="Times New Roman" w:hAnsi="Times New Roman"/>
                <w:b w:val="0"/>
                <w:i w:val="0"/>
                <w:sz w:val="19"/>
              </w:rPr>
              <w:t>HP 4156 parameter analyzer</w:t>
            </w:r>
          </w:p>
        </w:tc>
        <w:tc>
          <w:tcPr>
            <w:tcW w:type="dxa" w:w="2160"/>
          </w:tcPr>
          <w:p>
            <w:pPr>
              <w:spacing w:after="20" w:before="20"/>
            </w:pPr>
            <w:r/>
            <w:r>
              <w:rPr>
                <w:rFonts w:ascii="Times New Roman" w:hAnsi="Times New Roman"/>
                <w:b w:val="0"/>
                <w:i w:val="0"/>
                <w:sz w:val="19"/>
              </w:rPr>
              <w:t>4-point, gaps 0.2–4 mm</w:t>
            </w:r>
          </w:p>
        </w:tc>
      </w:tr>
      <w:tr>
        <w:tc>
          <w:tcPr>
            <w:tcW w:type="dxa" w:w="2160"/>
          </w:tcPr>
          <w:p>
            <w:pPr>
              <w:spacing w:after="20" w:before="20"/>
            </w:pPr>
            <w:r/>
            <w:r>
              <w:rPr>
                <w:rFonts w:ascii="Times New Roman" w:hAnsi="Times New Roman"/>
                <w:b w:val="0"/>
                <w:i w:val="0"/>
                <w:sz w:val="19"/>
              </w:rPr>
              <w:t>Sheet resistance R</w:t>
            </w:r>
            <w:r>
              <w:rPr>
                <w:rFonts w:ascii="Times New Roman" w:hAnsi="Times New Roman"/>
                <w:b w:val="0"/>
                <w:i w:val="0"/>
                <w:sz w:val="19"/>
                <w:vertAlign w:val="subscript"/>
              </w:rPr>
              <w:t>sh</w:t>
            </w:r>
          </w:p>
        </w:tc>
        <w:tc>
          <w:tcPr>
            <w:tcW w:type="dxa" w:w="2160"/>
          </w:tcPr>
          <w:p>
            <w:pPr>
              <w:spacing w:after="20" w:before="20"/>
            </w:pPr>
            <w:r/>
            <w:r>
              <w:rPr>
                <w:rFonts w:ascii="Times New Roman" w:hAnsi="Times New Roman"/>
                <w:b w:val="0"/>
                <w:i w:val="0"/>
                <w:sz w:val="19"/>
              </w:rPr>
              <w:t>van der Pauw cloverleaves, W ∈ {1.0, 0.5, 0.25, 0.15} mm</w:t>
            </w:r>
          </w:p>
        </w:tc>
        <w:tc>
          <w:tcPr>
            <w:tcW w:type="dxa" w:w="2160"/>
          </w:tcPr>
          <w:p>
            <w:pPr>
              <w:spacing w:after="20" w:before="20"/>
            </w:pPr>
            <w:r/>
            <w:r>
              <w:rPr>
                <w:rFonts w:ascii="Times New Roman" w:hAnsi="Times New Roman"/>
                <w:b w:val="0"/>
                <w:i w:val="0"/>
                <w:sz w:val="19"/>
              </w:rPr>
              <w:t>HP 4156 parameter analyzer</w:t>
            </w:r>
          </w:p>
        </w:tc>
        <w:tc>
          <w:tcPr>
            <w:tcW w:type="dxa" w:w="2160"/>
          </w:tcPr>
          <w:p>
            <w:pPr>
              <w:spacing w:after="20" w:before="20"/>
            </w:pPr>
            <w:r/>
            <w:r>
              <w:rPr>
                <w:rFonts w:ascii="Times New Roman" w:hAnsi="Times New Roman"/>
                <w:b w:val="0"/>
                <w:i w:val="0"/>
                <w:sz w:val="19"/>
              </w:rPr>
              <w:t>4-point, 90° rotation</w:t>
            </w:r>
          </w:p>
        </w:tc>
      </w:tr>
      <w:tr>
        <w:tc>
          <w:tcPr>
            <w:tcW w:type="dxa" w:w="2160"/>
          </w:tcPr>
          <w:p>
            <w:pPr>
              <w:spacing w:after="20" w:before="20"/>
            </w:pPr>
            <w:r/>
            <w:r>
              <w:rPr>
                <w:rFonts w:ascii="Times New Roman" w:hAnsi="Times New Roman"/>
                <w:b w:val="0"/>
                <w:i w:val="0"/>
                <w:sz w:val="19"/>
              </w:rPr>
              <w:t>Junction–substrate R</w:t>
            </w:r>
            <w:r>
              <w:rPr>
                <w:rFonts w:ascii="Times New Roman" w:hAnsi="Times New Roman"/>
                <w:b w:val="0"/>
                <w:i w:val="0"/>
                <w:sz w:val="19"/>
                <w:vertAlign w:val="subscript"/>
              </w:rPr>
              <w:t>th</w:t>
            </w:r>
          </w:p>
        </w:tc>
        <w:tc>
          <w:tcPr>
            <w:tcW w:type="dxa" w:w="2160"/>
          </w:tcPr>
          <w:p>
            <w:pPr>
              <w:spacing w:after="20" w:before="20"/>
            </w:pPr>
            <w:r/>
            <w:r>
              <w:rPr>
                <w:rFonts w:ascii="Times New Roman" w:hAnsi="Times New Roman"/>
                <w:b w:val="0"/>
                <w:i w:val="0"/>
                <w:sz w:val="19"/>
              </w:rPr>
              <w:t>LED + NTC TH1–TH4 (interleaved)</w:t>
            </w:r>
          </w:p>
        </w:tc>
        <w:tc>
          <w:tcPr>
            <w:tcW w:type="dxa" w:w="2160"/>
          </w:tcPr>
          <w:p>
            <w:pPr>
              <w:spacing w:after="20" w:before="20"/>
            </w:pPr>
            <w:r/>
            <w:r>
              <w:rPr>
                <w:rFonts w:ascii="Times New Roman" w:hAnsi="Times New Roman"/>
                <w:b w:val="0"/>
                <w:i w:val="0"/>
                <w:sz w:val="19"/>
              </w:rPr>
              <w:t>Keithley 2450, pulsed sense</w:t>
            </w:r>
          </w:p>
        </w:tc>
        <w:tc>
          <w:tcPr>
            <w:tcW w:type="dxa" w:w="2160"/>
          </w:tcPr>
          <w:p>
            <w:pPr>
              <w:spacing w:after="20" w:before="20"/>
            </w:pPr>
            <w:r/>
            <w:r>
              <w:rPr>
                <w:rFonts w:ascii="Times New Roman" w:hAnsi="Times New Roman"/>
                <w:b w:val="0"/>
                <w:i w:val="0"/>
                <w:sz w:val="19"/>
              </w:rPr>
              <w:t>100 µA, 1 ms, 10% duty</w:t>
            </w:r>
          </w:p>
        </w:tc>
      </w:tr>
      <w:tr>
        <w:tc>
          <w:tcPr>
            <w:tcW w:type="dxa" w:w="2160"/>
          </w:tcPr>
          <w:p>
            <w:pPr>
              <w:spacing w:after="20" w:before="20"/>
            </w:pPr>
            <w:r/>
            <w:r>
              <w:rPr>
                <w:rFonts w:ascii="Times New Roman" w:hAnsi="Times New Roman"/>
                <w:b w:val="0"/>
                <w:i w:val="0"/>
                <w:sz w:val="19"/>
              </w:rPr>
              <w:t>Series / parallel impedance</w:t>
            </w:r>
          </w:p>
        </w:tc>
        <w:tc>
          <w:tcPr>
            <w:tcW w:type="dxa" w:w="2160"/>
          </w:tcPr>
          <w:p>
            <w:pPr>
              <w:spacing w:after="20" w:before="20"/>
            </w:pPr>
            <w:r/>
            <w:r>
              <w:rPr>
                <w:rFonts w:ascii="Times New Roman" w:hAnsi="Times New Roman"/>
                <w:b w:val="0"/>
                <w:i w:val="0"/>
                <w:sz w:val="19"/>
              </w:rPr>
              <w:t>LED + EIS OPEN / SHORT / LOAD</w:t>
            </w:r>
          </w:p>
        </w:tc>
        <w:tc>
          <w:tcPr>
            <w:tcW w:type="dxa" w:w="2160"/>
          </w:tcPr>
          <w:p>
            <w:pPr>
              <w:spacing w:after="20" w:before="20"/>
            </w:pPr>
            <w:r/>
            <w:r>
              <w:rPr>
                <w:rFonts w:ascii="Times New Roman" w:hAnsi="Times New Roman"/>
                <w:b w:val="0"/>
                <w:i w:val="0"/>
                <w:sz w:val="19"/>
              </w:rPr>
              <w:t>Solartron 1260A + 1296A</w:t>
            </w:r>
          </w:p>
        </w:tc>
        <w:tc>
          <w:tcPr>
            <w:tcW w:type="dxa" w:w="2160"/>
          </w:tcPr>
          <w:p>
            <w:pPr>
              <w:spacing w:after="20" w:before="20"/>
            </w:pPr>
            <w:r/>
            <w:r>
              <w:rPr>
                <w:rFonts w:ascii="Times New Roman" w:hAnsi="Times New Roman"/>
                <w:b w:val="0"/>
                <w:i w:val="0"/>
                <w:sz w:val="19"/>
              </w:rPr>
              <w:t>10 mV AC, 0.1 Hz–1 MHz</w:t>
            </w:r>
          </w:p>
        </w:tc>
      </w:tr>
    </w:tbl>
    <w:p>
      <w:pPr>
        <w:pStyle w:val="Heading2"/>
      </w:pPr>
      <w:r>
        <w:rPr>
          <w:rFonts w:ascii="Times New Roman" w:hAnsi="Times New Roman"/>
          <w:b w:val="0"/>
          <w:i w:val="0"/>
          <w:color w:val="000000"/>
          <w:sz w:val="22"/>
        </w:rPr>
        <w:t>A.  Daisy-chain bond resistance and yield</w:t>
      </w:r>
    </w:p>
    <w:p>
      <w:pPr>
        <w:spacing w:after="120" w:before="0"/>
      </w:pPr>
      <w:r>
        <w:rPr>
          <w:rFonts w:ascii="Times New Roman" w:hAnsi="Times New Roman"/>
          <w:b w:val="0"/>
          <w:i w:val="0"/>
          <w:sz w:val="22"/>
        </w:rPr>
        <w:t>The daisy chains DCL6 and DCL12 place 6 and 12 LEDs in series through the red cathode, so a single I–V sweep across the chain endpoints exercises 2N bonds (N LEDs, two bonds each). The mean resistance per bond follows from the measured chain resistance:</w:t>
      </w:r>
    </w:p>
    <w:p>
      <w:pPr>
        <w:spacing w:before="80" w:after="160"/>
        <w:jc w:val="center"/>
      </w:pPr>
      <w:r>
        <w:rPr>
          <w:rFonts w:ascii="Times New Roman" w:hAnsi="Times New Roman"/>
          <w:b w:val="0"/>
          <w:i w:val="0"/>
          <w:sz w:val="22"/>
        </w:rPr>
        <w:t>R</w:t>
      </w:r>
      <w:r>
        <w:rPr>
          <w:rFonts w:ascii="Times New Roman" w:hAnsi="Times New Roman"/>
          <w:b w:val="0"/>
          <w:i w:val="0"/>
          <w:sz w:val="22"/>
          <w:vertAlign w:val="subscript"/>
        </w:rPr>
        <w:t>bond</w:t>
      </w:r>
      <w:r>
        <w:rPr>
          <w:rFonts w:ascii="Times New Roman" w:hAnsi="Times New Roman"/>
          <w:b w:val="0"/>
          <w:i w:val="0"/>
          <w:sz w:val="22"/>
        </w:rPr>
        <w:t xml:space="preserve"> = R</w:t>
      </w:r>
      <w:r>
        <w:rPr>
          <w:rFonts w:ascii="Times New Roman" w:hAnsi="Times New Roman"/>
          <w:b w:val="0"/>
          <w:i w:val="0"/>
          <w:sz w:val="22"/>
          <w:vertAlign w:val="subscript"/>
        </w:rPr>
        <w:t>chain</w:t>
      </w:r>
      <w:r>
        <w:rPr>
          <w:rFonts w:ascii="Times New Roman" w:hAnsi="Times New Roman"/>
          <w:b w:val="0"/>
          <w:i w:val="0"/>
          <w:sz w:val="22"/>
        </w:rPr>
        <w:t xml:space="preserve"> / (2N)</w:t>
      </w:r>
    </w:p>
    <w:p>
      <w:pPr>
        <w:spacing w:after="120" w:before="0"/>
      </w:pPr>
      <w:r>
        <w:rPr>
          <w:rFonts w:ascii="Times New Roman" w:hAnsi="Times New Roman"/>
          <w:b w:val="0"/>
          <w:i w:val="0"/>
          <w:sz w:val="22"/>
        </w:rPr>
        <w:t>A defective bond appears either as a discontinuity in the chain I–V curve or as a chain forward voltage that overshoots N × V</w:t>
      </w:r>
      <w:r>
        <w:rPr>
          <w:rFonts w:ascii="Times New Roman" w:hAnsi="Times New Roman"/>
          <w:b w:val="0"/>
          <w:i w:val="0"/>
          <w:sz w:val="22"/>
          <w:vertAlign w:val="subscript"/>
        </w:rPr>
        <w:t>F,nom</w:t>
      </w:r>
      <w:r>
        <w:rPr>
          <w:rFonts w:ascii="Times New Roman" w:hAnsi="Times New Roman"/>
          <w:b w:val="0"/>
          <w:i w:val="0"/>
          <w:sz w:val="22"/>
        </w:rPr>
        <w:t>. Yield is reported as the number of conducting bonds over the total. For reference, the v1 board reported chain resistances of 0.199–0.380 Ω across die finishes and mounting conditions [ref]; values of that order indicate well-formed joints.</w:t>
      </w:r>
    </w:p>
    <w:p>
      <w:pPr>
        <w:spacing w:before="160" w:after="60"/>
      </w:pPr>
      <w:r>
        <w:rPr>
          <w:rFonts w:ascii="Times New Roman" w:hAnsi="Times New Roman"/>
          <w:b/>
          <w:i w:val="0"/>
          <w:sz w:val="19"/>
        </w:rPr>
        <w:t>Table II. Daisy-chain bond resistance and yield.</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pPr>
              <w:spacing w:after="20" w:before="20"/>
              <w:jc w:val="center"/>
            </w:pPr>
            <w:r/>
            <w:r>
              <w:rPr>
                <w:rFonts w:ascii="Times New Roman" w:hAnsi="Times New Roman"/>
                <w:b/>
                <w:i w:val="0"/>
                <w:sz w:val="19"/>
              </w:rPr>
              <w:t>Sample / condition</w:t>
            </w:r>
          </w:p>
        </w:tc>
        <w:tc>
          <w:tcPr>
            <w:tcW w:type="dxa" w:w="1234"/>
            <w:shd w:val="clear" w:color="auto" w:fill="D9E2F3"/>
          </w:tcPr>
          <w:p>
            <w:pPr>
              <w:spacing w:after="20" w:before="20"/>
              <w:jc w:val="center"/>
            </w:pPr>
            <w:r/>
            <w:r>
              <w:rPr>
                <w:rFonts w:ascii="Times New Roman" w:hAnsi="Times New Roman"/>
                <w:b/>
                <w:i w:val="0"/>
                <w:sz w:val="19"/>
              </w:rPr>
              <w:t>Chain</w:t>
            </w:r>
          </w:p>
        </w:tc>
        <w:tc>
          <w:tcPr>
            <w:tcW w:type="dxa" w:w="1234"/>
            <w:shd w:val="clear" w:color="auto" w:fill="D9E2F3"/>
          </w:tcPr>
          <w:p>
            <w:pPr>
              <w:spacing w:after="20" w:before="20"/>
              <w:jc w:val="center"/>
            </w:pPr>
            <w:r/>
            <w:r>
              <w:rPr>
                <w:rFonts w:ascii="Times New Roman" w:hAnsi="Times New Roman"/>
                <w:b/>
                <w:i w:val="0"/>
                <w:sz w:val="19"/>
              </w:rPr>
              <w:t>N (LEDs)</w:t>
            </w:r>
          </w:p>
        </w:tc>
        <w:tc>
          <w:tcPr>
            <w:tcW w:type="dxa" w:w="1234"/>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chain</w:t>
            </w:r>
            <w:r>
              <w:rPr>
                <w:rFonts w:ascii="Times New Roman" w:hAnsi="Times New Roman"/>
                <w:b/>
                <w:i w:val="0"/>
                <w:sz w:val="19"/>
              </w:rPr>
              <w:t xml:space="preserve"> (Ω)</w:t>
            </w:r>
          </w:p>
        </w:tc>
        <w:tc>
          <w:tcPr>
            <w:tcW w:type="dxa" w:w="1234"/>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bond</w:t>
            </w:r>
            <w:r>
              <w:rPr>
                <w:rFonts w:ascii="Times New Roman" w:hAnsi="Times New Roman"/>
                <w:b/>
                <w:i w:val="0"/>
                <w:sz w:val="19"/>
              </w:rPr>
              <w:t xml:space="preserve"> (mΩ)</w:t>
            </w:r>
          </w:p>
        </w:tc>
        <w:tc>
          <w:tcPr>
            <w:tcW w:type="dxa" w:w="1234"/>
            <w:shd w:val="clear" w:color="auto" w:fill="D9E2F3"/>
          </w:tcPr>
          <w:p>
            <w:pPr>
              <w:spacing w:after="20" w:before="20"/>
              <w:jc w:val="center"/>
            </w:pPr>
            <w:r/>
            <w:r>
              <w:rPr>
                <w:rFonts w:ascii="Times New Roman" w:hAnsi="Times New Roman"/>
                <w:b/>
                <w:i w:val="0"/>
                <w:sz w:val="19"/>
              </w:rPr>
              <w:t>Bonds OK / total</w:t>
            </w:r>
          </w:p>
        </w:tc>
        <w:tc>
          <w:tcPr>
            <w:tcW w:type="dxa" w:w="1234"/>
            <w:shd w:val="clear" w:color="auto" w:fill="D9E2F3"/>
          </w:tcPr>
          <w:p>
            <w:pPr>
              <w:spacing w:after="20" w:before="20"/>
              <w:jc w:val="center"/>
            </w:pPr>
            <w:r/>
            <w:r>
              <w:rPr>
                <w:rFonts w:ascii="Times New Roman" w:hAnsi="Times New Roman"/>
                <w:b/>
                <w:i w:val="0"/>
                <w:sz w:val="19"/>
              </w:rPr>
              <w:t>Yield (%)</w:t>
            </w:r>
          </w:p>
        </w:tc>
      </w:tr>
      <w:tr>
        <w:tc>
          <w:tcPr>
            <w:tcW w:type="dxa" w:w="1234"/>
          </w:tcPr>
          <w:p>
            <w:pPr>
              <w:spacing w:after="20" w:before="20"/>
            </w:pPr>
            <w:r/>
          </w:p>
        </w:tc>
        <w:tc>
          <w:tcPr>
            <w:tcW w:type="dxa" w:w="1234"/>
          </w:tcPr>
          <w:p>
            <w:pPr>
              <w:spacing w:after="20" w:before="20"/>
              <w:jc w:val="center"/>
            </w:pPr>
            <w:r/>
            <w:r>
              <w:rPr>
                <w:rFonts w:ascii="Times New Roman" w:hAnsi="Times New Roman"/>
                <w:b w:val="0"/>
                <w:i w:val="0"/>
                <w:sz w:val="19"/>
              </w:rPr>
              <w:t>DCL6</w:t>
            </w:r>
          </w:p>
        </w:tc>
        <w:tc>
          <w:tcPr>
            <w:tcW w:type="dxa" w:w="1234"/>
          </w:tcPr>
          <w:p>
            <w:pPr>
              <w:spacing w:after="20" w:before="20"/>
              <w:jc w:val="center"/>
            </w:pPr>
            <w:r/>
            <w:r>
              <w:rPr>
                <w:rFonts w:ascii="Times New Roman" w:hAnsi="Times New Roman"/>
                <w:b w:val="0"/>
                <w:i w:val="0"/>
                <w:sz w:val="19"/>
              </w:rPr>
              <w:t>6</w:t>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r>
        <w:tc>
          <w:tcPr>
            <w:tcW w:type="dxa" w:w="1234"/>
          </w:tcPr>
          <w:p>
            <w:pPr>
              <w:spacing w:after="20" w:before="20"/>
            </w:pPr>
            <w:r/>
          </w:p>
        </w:tc>
        <w:tc>
          <w:tcPr>
            <w:tcW w:type="dxa" w:w="1234"/>
          </w:tcPr>
          <w:p>
            <w:pPr>
              <w:spacing w:after="20" w:before="20"/>
              <w:jc w:val="center"/>
            </w:pPr>
            <w:r/>
            <w:r>
              <w:rPr>
                <w:rFonts w:ascii="Times New Roman" w:hAnsi="Times New Roman"/>
                <w:b w:val="0"/>
                <w:i w:val="0"/>
                <w:sz w:val="19"/>
              </w:rPr>
              <w:t>DCL12</w:t>
            </w:r>
          </w:p>
        </w:tc>
        <w:tc>
          <w:tcPr>
            <w:tcW w:type="dxa" w:w="1234"/>
          </w:tcPr>
          <w:p>
            <w:pPr>
              <w:spacing w:after="20" w:before="20"/>
              <w:jc w:val="center"/>
            </w:pPr>
            <w:r/>
            <w:r>
              <w:rPr>
                <w:rFonts w:ascii="Times New Roman" w:hAnsi="Times New Roman"/>
                <w:b w:val="0"/>
                <w:i w:val="0"/>
                <w:sz w:val="19"/>
              </w:rPr>
              <w:t>12</w:t>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r>
        <w:tc>
          <w:tcPr>
            <w:tcW w:type="dxa" w:w="1234"/>
          </w:tcPr>
          <w:p>
            <w:pPr>
              <w:spacing w:after="20" w:before="20"/>
            </w:pPr>
            <w:r/>
          </w:p>
        </w:tc>
        <w:tc>
          <w:tcPr>
            <w:tcW w:type="dxa" w:w="1234"/>
          </w:tcPr>
          <w:p>
            <w:pPr>
              <w:spacing w:after="20" w:before="20"/>
              <w:jc w:val="center"/>
            </w:pPr>
            <w:r/>
            <w:r>
              <w:rPr>
                <w:rFonts w:ascii="Times New Roman" w:hAnsi="Times New Roman"/>
                <w:b w:val="0"/>
                <w:i w:val="0"/>
                <w:sz w:val="19"/>
              </w:rPr>
              <w:t>DCL6</w:t>
            </w:r>
          </w:p>
        </w:tc>
        <w:tc>
          <w:tcPr>
            <w:tcW w:type="dxa" w:w="1234"/>
          </w:tcPr>
          <w:p>
            <w:pPr>
              <w:spacing w:after="20" w:before="20"/>
              <w:jc w:val="center"/>
            </w:pPr>
            <w:r/>
            <w:r>
              <w:rPr>
                <w:rFonts w:ascii="Times New Roman" w:hAnsi="Times New Roman"/>
                <w:b w:val="0"/>
                <w:i w:val="0"/>
                <w:sz w:val="19"/>
              </w:rPr>
              <w:t>6</w:t>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r>
        <w:tc>
          <w:tcPr>
            <w:tcW w:type="dxa" w:w="1234"/>
          </w:tcPr>
          <w:p>
            <w:pPr>
              <w:spacing w:after="20" w:before="20"/>
            </w:pPr>
            <w:r/>
          </w:p>
        </w:tc>
        <w:tc>
          <w:tcPr>
            <w:tcW w:type="dxa" w:w="1234"/>
          </w:tcPr>
          <w:p>
            <w:pPr>
              <w:spacing w:after="20" w:before="20"/>
              <w:jc w:val="center"/>
            </w:pPr>
            <w:r/>
            <w:r>
              <w:rPr>
                <w:rFonts w:ascii="Times New Roman" w:hAnsi="Times New Roman"/>
                <w:b w:val="0"/>
                <w:i w:val="0"/>
                <w:sz w:val="19"/>
              </w:rPr>
              <w:t>DCL12</w:t>
            </w:r>
          </w:p>
        </w:tc>
        <w:tc>
          <w:tcPr>
            <w:tcW w:type="dxa" w:w="1234"/>
          </w:tcPr>
          <w:p>
            <w:pPr>
              <w:spacing w:after="20" w:before="20"/>
              <w:jc w:val="center"/>
            </w:pPr>
            <w:r/>
            <w:r>
              <w:rPr>
                <w:rFonts w:ascii="Times New Roman" w:hAnsi="Times New Roman"/>
                <w:b w:val="0"/>
                <w:i w:val="0"/>
                <w:sz w:val="19"/>
              </w:rPr>
              <w:t>12</w:t>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bl>
    <w:p>
      <w:pPr>
        <w:pStyle w:val="Heading2"/>
      </w:pPr>
      <w:r>
        <w:rPr>
          <w:rFonts w:ascii="Times New Roman" w:hAnsi="Times New Roman"/>
          <w:b w:val="0"/>
          <w:i w:val="0"/>
          <w:color w:val="000000"/>
          <w:sz w:val="22"/>
        </w:rPr>
        <w:t>B.  Forward voltage and current–voltage characteristics</w:t>
      </w:r>
    </w:p>
    <w:p>
      <w:pPr>
        <w:spacing w:after="120" w:before="0"/>
      </w:pPr>
      <w:r>
        <w:rPr>
          <w:rFonts w:ascii="Times New Roman" w:hAnsi="Times New Roman"/>
          <w:b w:val="0"/>
          <w:i w:val="0"/>
          <w:sz w:val="22"/>
        </w:rPr>
        <w:t>Each addressable LED is read across its four bonded contacts. The forward voltage at the 10 mA operating point, V</w:t>
      </w:r>
      <w:r>
        <w:rPr>
          <w:rFonts w:ascii="Times New Roman" w:hAnsi="Times New Roman"/>
          <w:b w:val="0"/>
          <w:i w:val="0"/>
          <w:sz w:val="22"/>
          <w:vertAlign w:val="subscript"/>
        </w:rPr>
        <w:t>F</w:t>
      </w:r>
      <w:r>
        <w:rPr>
          <w:rFonts w:ascii="Times New Roman" w:hAnsi="Times New Roman"/>
          <w:b w:val="0"/>
          <w:i w:val="0"/>
          <w:sz w:val="22"/>
        </w:rPr>
        <w:t>(10 mA), is the primary number; for WL-SFCC red the nominal value is ≈ 2.05 V [ref], so a joint that adds appreciable series resistance shows up as an elevated V</w:t>
      </w:r>
      <w:r>
        <w:rPr>
          <w:rFonts w:ascii="Times New Roman" w:hAnsi="Times New Roman"/>
          <w:b w:val="0"/>
          <w:i w:val="0"/>
          <w:sz w:val="22"/>
          <w:vertAlign w:val="subscript"/>
        </w:rPr>
        <w:t>F</w:t>
      </w:r>
      <w:r>
        <w:rPr>
          <w:rFonts w:ascii="Times New Roman" w:hAnsi="Times New Roman"/>
          <w:b w:val="0"/>
          <w:i w:val="0"/>
          <w:sz w:val="22"/>
        </w:rPr>
        <w:t>. A least-squares fit of the high-current branch gives the joint series resistance R</w:t>
      </w:r>
      <w:r>
        <w:rPr>
          <w:rFonts w:ascii="Times New Roman" w:hAnsi="Times New Roman"/>
          <w:b w:val="0"/>
          <w:i w:val="0"/>
          <w:sz w:val="22"/>
          <w:vertAlign w:val="subscript"/>
        </w:rPr>
        <w:t>s</w:t>
      </w:r>
      <w:r>
        <w:rPr>
          <w:rFonts w:ascii="Times New Roman" w:hAnsi="Times New Roman"/>
          <w:b w:val="0"/>
          <w:i w:val="0"/>
          <w:sz w:val="22"/>
        </w:rPr>
        <w:t>, and the reverse branch at −5 V gives the leakage current I</w:t>
      </w:r>
      <w:r>
        <w:rPr>
          <w:rFonts w:ascii="Times New Roman" w:hAnsi="Times New Roman"/>
          <w:b w:val="0"/>
          <w:i w:val="0"/>
          <w:sz w:val="22"/>
          <w:vertAlign w:val="subscript"/>
        </w:rPr>
        <w:t>leak</w:t>
      </w:r>
      <w:r>
        <w:rPr>
          <w:rFonts w:ascii="Times New Roman" w:hAnsi="Times New Roman"/>
          <w:b w:val="0"/>
          <w:i w:val="0"/>
          <w:sz w:val="22"/>
        </w:rPr>
        <w:t>, which flags damaged or contaminated dies.</w:t>
      </w:r>
    </w:p>
    <w:p>
      <w:pPr>
        <w:spacing w:before="160" w:after="60"/>
      </w:pPr>
      <w:r>
        <w:rPr>
          <w:rFonts w:ascii="Times New Roman" w:hAnsi="Times New Roman"/>
          <w:b/>
          <w:i w:val="0"/>
          <w:sz w:val="19"/>
        </w:rPr>
        <w:t>Table III. Per-LED forward voltage, series resistance, and leakage. Colours: R = red, G = green, B = blue.</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pPr>
              <w:spacing w:after="20" w:before="20"/>
              <w:jc w:val="center"/>
            </w:pPr>
            <w:r/>
            <w:r>
              <w:rPr>
                <w:rFonts w:ascii="Times New Roman" w:hAnsi="Times New Roman"/>
                <w:b/>
                <w:i w:val="0"/>
                <w:sz w:val="19"/>
              </w:rPr>
              <w:t>Sample / condition</w:t>
            </w:r>
          </w:p>
        </w:tc>
        <w:tc>
          <w:tcPr>
            <w:tcW w:type="dxa" w:w="1234"/>
            <w:shd w:val="clear" w:color="auto" w:fill="D9E2F3"/>
          </w:tcPr>
          <w:p>
            <w:pPr>
              <w:spacing w:after="20" w:before="20"/>
              <w:jc w:val="center"/>
            </w:pPr>
            <w:r/>
            <w:r>
              <w:rPr>
                <w:rFonts w:ascii="Times New Roman" w:hAnsi="Times New Roman"/>
                <w:b/>
                <w:i w:val="0"/>
                <w:sz w:val="19"/>
              </w:rPr>
              <w:t>LED ID</w:t>
            </w:r>
          </w:p>
        </w:tc>
        <w:tc>
          <w:tcPr>
            <w:tcW w:type="dxa" w:w="1234"/>
            <w:shd w:val="clear" w:color="auto" w:fill="D9E2F3"/>
          </w:tcPr>
          <w:p>
            <w:pPr>
              <w:spacing w:after="20" w:before="20"/>
              <w:jc w:val="center"/>
            </w:pPr>
            <w:r/>
            <w:r>
              <w:rPr>
                <w:rFonts w:ascii="Times New Roman" w:hAnsi="Times New Roman"/>
                <w:b/>
                <w:i w:val="0"/>
                <w:sz w:val="19"/>
              </w:rPr>
              <w:t>Colour</w:t>
            </w:r>
          </w:p>
        </w:tc>
        <w:tc>
          <w:tcPr>
            <w:tcW w:type="dxa" w:w="1234"/>
            <w:shd w:val="clear" w:color="auto" w:fill="D9E2F3"/>
          </w:tcPr>
          <w:p>
            <w:pPr>
              <w:spacing w:after="20" w:before="20"/>
              <w:jc w:val="center"/>
            </w:pPr>
            <w:r/>
            <w:r>
              <w:rPr>
                <w:rFonts w:ascii="Times New Roman" w:hAnsi="Times New Roman"/>
                <w:b/>
                <w:i w:val="0"/>
                <w:sz w:val="19"/>
              </w:rPr>
              <w:t>V</w:t>
            </w:r>
            <w:r>
              <w:rPr>
                <w:rFonts w:ascii="Times New Roman" w:hAnsi="Times New Roman"/>
                <w:b/>
                <w:i w:val="0"/>
                <w:sz w:val="19"/>
                <w:vertAlign w:val="subscript"/>
              </w:rPr>
              <w:t>F</w:t>
            </w:r>
            <w:r>
              <w:rPr>
                <w:rFonts w:ascii="Times New Roman" w:hAnsi="Times New Roman"/>
                <w:b/>
                <w:i w:val="0"/>
                <w:sz w:val="19"/>
              </w:rPr>
              <w:t xml:space="preserve"> at 10 mA (V)</w:t>
            </w:r>
          </w:p>
        </w:tc>
        <w:tc>
          <w:tcPr>
            <w:tcW w:type="dxa" w:w="1234"/>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s</w:t>
            </w:r>
            <w:r>
              <w:rPr>
                <w:rFonts w:ascii="Times New Roman" w:hAnsi="Times New Roman"/>
                <w:b/>
                <w:i w:val="0"/>
                <w:sz w:val="19"/>
              </w:rPr>
              <w:t xml:space="preserve"> from I–V (Ω)</w:t>
            </w:r>
          </w:p>
        </w:tc>
        <w:tc>
          <w:tcPr>
            <w:tcW w:type="dxa" w:w="1234"/>
            <w:shd w:val="clear" w:color="auto" w:fill="D9E2F3"/>
          </w:tcPr>
          <w:p>
            <w:pPr>
              <w:spacing w:after="20" w:before="20"/>
              <w:jc w:val="center"/>
            </w:pPr>
            <w:r/>
            <w:r>
              <w:rPr>
                <w:rFonts w:ascii="Times New Roman" w:hAnsi="Times New Roman"/>
                <w:b/>
                <w:i w:val="0"/>
                <w:sz w:val="19"/>
              </w:rPr>
              <w:t>I</w:t>
            </w:r>
            <w:r>
              <w:rPr>
                <w:rFonts w:ascii="Times New Roman" w:hAnsi="Times New Roman"/>
                <w:b/>
                <w:i w:val="0"/>
                <w:sz w:val="19"/>
                <w:vertAlign w:val="subscript"/>
              </w:rPr>
              <w:t>leak</w:t>
            </w:r>
            <w:r>
              <w:rPr>
                <w:rFonts w:ascii="Times New Roman" w:hAnsi="Times New Roman"/>
                <w:b/>
                <w:i w:val="0"/>
                <w:sz w:val="19"/>
              </w:rPr>
              <w:t xml:space="preserve"> at −5 V (µA)</w:t>
            </w:r>
          </w:p>
        </w:tc>
        <w:tc>
          <w:tcPr>
            <w:tcW w:type="dxa" w:w="1234"/>
            <w:shd w:val="clear" w:color="auto" w:fill="D9E2F3"/>
          </w:tcPr>
          <w:p>
            <w:pPr>
              <w:spacing w:after="20" w:before="20"/>
              <w:jc w:val="center"/>
            </w:pPr>
            <w:r/>
            <w:r>
              <w:rPr>
                <w:rFonts w:ascii="Times New Roman" w:hAnsi="Times New Roman"/>
                <w:b/>
                <w:i w:val="0"/>
                <w:sz w:val="19"/>
              </w:rPr>
              <w:t>Notes</w:t>
            </w:r>
          </w:p>
        </w:tc>
      </w:tr>
      <w:tr>
        <w:tc>
          <w:tcPr>
            <w:tcW w:type="dxa" w:w="1234"/>
          </w:tcPr>
          <w:p>
            <w:pPr>
              <w:spacing w:after="20" w:before="20"/>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r>
        <w:tc>
          <w:tcPr>
            <w:tcW w:type="dxa" w:w="1234"/>
          </w:tcPr>
          <w:p>
            <w:pPr>
              <w:spacing w:after="20" w:before="20"/>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r>
        <w:tc>
          <w:tcPr>
            <w:tcW w:type="dxa" w:w="1234"/>
          </w:tcPr>
          <w:p>
            <w:pPr>
              <w:spacing w:after="20" w:before="20"/>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r>
        <w:tc>
          <w:tcPr>
            <w:tcW w:type="dxa" w:w="1234"/>
          </w:tcPr>
          <w:p>
            <w:pPr>
              <w:spacing w:after="20" w:before="20"/>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r>
        <w:tc>
          <w:tcPr>
            <w:tcW w:type="dxa" w:w="1234"/>
          </w:tcPr>
          <w:p>
            <w:pPr>
              <w:spacing w:after="20" w:before="20"/>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bl>
    <w:p>
      <w:pPr>
        <w:pStyle w:val="Heading2"/>
      </w:pPr>
      <w:r>
        <w:rPr>
          <w:rFonts w:ascii="Times New Roman" w:hAnsi="Times New Roman"/>
          <w:b w:val="0"/>
          <w:i w:val="0"/>
          <w:color w:val="000000"/>
          <w:sz w:val="22"/>
        </w:rPr>
        <w:t>C.  Specific contact resistivity (transmission-line method)</w:t>
      </w:r>
    </w:p>
    <w:p>
      <w:pPr>
        <w:spacing w:after="120" w:before="0"/>
      </w:pPr>
      <w:r>
        <w:rPr>
          <w:rFonts w:ascii="Times New Roman" w:hAnsi="Times New Roman"/>
          <w:b w:val="0"/>
          <w:i w:val="0"/>
          <w:sz w:val="22"/>
        </w:rPr>
        <w:t>The TLM ladders give the sheet resistance R</w:t>
      </w:r>
      <w:r>
        <w:rPr>
          <w:rFonts w:ascii="Times New Roman" w:hAnsi="Times New Roman"/>
          <w:b w:val="0"/>
          <w:i w:val="0"/>
          <w:sz w:val="22"/>
          <w:vertAlign w:val="subscript"/>
        </w:rPr>
        <w:t>sh</w:t>
      </w:r>
      <w:r>
        <w:rPr>
          <w:rFonts w:ascii="Times New Roman" w:hAnsi="Times New Roman"/>
          <w:b w:val="0"/>
          <w:i w:val="0"/>
          <w:sz w:val="22"/>
        </w:rPr>
        <w:t xml:space="preserve"> and the specific contact resistivity ρ</w:t>
      </w:r>
      <w:r>
        <w:rPr>
          <w:rFonts w:ascii="Times New Roman" w:hAnsi="Times New Roman"/>
          <w:b w:val="0"/>
          <w:i w:val="0"/>
          <w:sz w:val="22"/>
          <w:vertAlign w:val="subscript"/>
        </w:rPr>
        <w:t>c</w:t>
      </w:r>
      <w:r>
        <w:rPr>
          <w:rFonts w:ascii="Times New Roman" w:hAnsi="Times New Roman"/>
          <w:b w:val="0"/>
          <w:i w:val="0"/>
          <w:sz w:val="22"/>
        </w:rPr>
        <w:t xml:space="preserve"> from the total resistance measured between successive finger pairs at known gaps d. For identical contacts of width W, length L, and transfer length L</w:t>
      </w:r>
      <w:r>
        <w:rPr>
          <w:rFonts w:ascii="Times New Roman" w:hAnsi="Times New Roman"/>
          <w:b w:val="0"/>
          <w:i w:val="0"/>
          <w:sz w:val="22"/>
          <w:vertAlign w:val="subscript"/>
        </w:rPr>
        <w:t>T</w:t>
      </w:r>
      <w:r>
        <w:rPr>
          <w:rFonts w:ascii="Times New Roman" w:hAnsi="Times New Roman"/>
          <w:b w:val="0"/>
          <w:i w:val="0"/>
          <w:sz w:val="22"/>
        </w:rPr>
        <w:t>,</w:t>
      </w:r>
    </w:p>
    <w:p>
      <w:pPr>
        <w:spacing w:before="80" w:after="160"/>
        <w:jc w:val="center"/>
      </w:pPr>
      <w:r>
        <w:rPr>
          <w:rFonts w:ascii="Times New Roman" w:hAnsi="Times New Roman"/>
          <w:b w:val="0"/>
          <w:i w:val="0"/>
          <w:sz w:val="22"/>
        </w:rPr>
        <w:t>R</w:t>
      </w:r>
      <w:r>
        <w:rPr>
          <w:rFonts w:ascii="Times New Roman" w:hAnsi="Times New Roman"/>
          <w:b w:val="0"/>
          <w:i w:val="0"/>
          <w:sz w:val="22"/>
          <w:vertAlign w:val="subscript"/>
        </w:rPr>
        <w:t>tot</w:t>
      </w:r>
      <w:r>
        <w:rPr>
          <w:rFonts w:ascii="Times New Roman" w:hAnsi="Times New Roman"/>
          <w:b w:val="0"/>
          <w:i w:val="0"/>
          <w:sz w:val="22"/>
        </w:rPr>
        <w:t>(d) = (R</w:t>
      </w:r>
      <w:r>
        <w:rPr>
          <w:rFonts w:ascii="Times New Roman" w:hAnsi="Times New Roman"/>
          <w:b w:val="0"/>
          <w:i w:val="0"/>
          <w:sz w:val="22"/>
          <w:vertAlign w:val="subscript"/>
        </w:rPr>
        <w:t>sh</w:t>
      </w:r>
      <w:r>
        <w:rPr>
          <w:rFonts w:ascii="Times New Roman" w:hAnsi="Times New Roman"/>
          <w:b w:val="0"/>
          <w:i w:val="0"/>
          <w:sz w:val="22"/>
        </w:rPr>
        <w:t xml:space="preserve"> / W) · d + 2R</w:t>
      </w:r>
      <w:r>
        <w:rPr>
          <w:rFonts w:ascii="Times New Roman" w:hAnsi="Times New Roman"/>
          <w:b w:val="0"/>
          <w:i w:val="0"/>
          <w:sz w:val="22"/>
          <w:vertAlign w:val="subscript"/>
        </w:rPr>
        <w:t>c</w:t>
      </w:r>
    </w:p>
    <w:p>
      <w:pPr>
        <w:spacing w:before="80" w:after="160"/>
        <w:jc w:val="center"/>
      </w:pPr>
      <w:r>
        <w:rPr>
          <w:rFonts w:ascii="Times New Roman" w:hAnsi="Times New Roman"/>
          <w:b w:val="0"/>
          <w:i w:val="0"/>
          <w:sz w:val="22"/>
        </w:rPr>
        <w:t>R</w:t>
      </w:r>
      <w:r>
        <w:rPr>
          <w:rFonts w:ascii="Times New Roman" w:hAnsi="Times New Roman"/>
          <w:b w:val="0"/>
          <w:i w:val="0"/>
          <w:sz w:val="22"/>
          <w:vertAlign w:val="subscript"/>
        </w:rPr>
        <w:t>c</w:t>
      </w:r>
      <w:r>
        <w:rPr>
          <w:rFonts w:ascii="Times New Roman" w:hAnsi="Times New Roman"/>
          <w:b w:val="0"/>
          <w:i w:val="0"/>
          <w:sz w:val="22"/>
        </w:rPr>
        <w:t xml:space="preserve"> = (R</w:t>
      </w:r>
      <w:r>
        <w:rPr>
          <w:rFonts w:ascii="Times New Roman" w:hAnsi="Times New Roman"/>
          <w:b w:val="0"/>
          <w:i w:val="0"/>
          <w:sz w:val="22"/>
          <w:vertAlign w:val="subscript"/>
        </w:rPr>
        <w:t>sh</w:t>
      </w:r>
      <w:r>
        <w:rPr>
          <w:rFonts w:ascii="Times New Roman" w:hAnsi="Times New Roman"/>
          <w:b w:val="0"/>
          <w:i w:val="0"/>
          <w:sz w:val="22"/>
        </w:rPr>
        <w:t xml:space="preserve"> · L</w:t>
      </w:r>
      <w:r>
        <w:rPr>
          <w:rFonts w:ascii="Times New Roman" w:hAnsi="Times New Roman"/>
          <w:b w:val="0"/>
          <w:i w:val="0"/>
          <w:sz w:val="22"/>
          <w:vertAlign w:val="subscript"/>
        </w:rPr>
        <w:t>T</w:t>
      </w:r>
      <w:r>
        <w:rPr>
          <w:rFonts w:ascii="Times New Roman" w:hAnsi="Times New Roman"/>
          <w:b w:val="0"/>
          <w:i w:val="0"/>
          <w:sz w:val="22"/>
        </w:rPr>
        <w:t xml:space="preserve"> / W) · coth(L / L</w:t>
      </w:r>
      <w:r>
        <w:rPr>
          <w:rFonts w:ascii="Times New Roman" w:hAnsi="Times New Roman"/>
          <w:b w:val="0"/>
          <w:i w:val="0"/>
          <w:sz w:val="22"/>
          <w:vertAlign w:val="subscript"/>
        </w:rPr>
        <w:t>T</w:t>
      </w:r>
      <w:r>
        <w:rPr>
          <w:rFonts w:ascii="Times New Roman" w:hAnsi="Times New Roman"/>
          <w:b w:val="0"/>
          <w:i w:val="0"/>
          <w:sz w:val="22"/>
        </w:rPr>
        <w:t>)</w:t>
      </w:r>
    </w:p>
    <w:p>
      <w:pPr>
        <w:spacing w:after="120" w:before="0"/>
      </w:pPr>
      <w:r>
        <w:rPr>
          <w:rFonts w:ascii="Times New Roman" w:hAnsi="Times New Roman"/>
          <w:b w:val="0"/>
          <w:i w:val="0"/>
          <w:sz w:val="22"/>
        </w:rPr>
        <w:t>A linear fit of R</w:t>
      </w:r>
      <w:r>
        <w:rPr>
          <w:rFonts w:ascii="Times New Roman" w:hAnsi="Times New Roman"/>
          <w:b w:val="0"/>
          <w:i w:val="0"/>
          <w:sz w:val="22"/>
          <w:vertAlign w:val="subscript"/>
        </w:rPr>
        <w:t>tot</w:t>
      </w:r>
      <w:r>
        <w:rPr>
          <w:rFonts w:ascii="Times New Roman" w:hAnsi="Times New Roman"/>
          <w:b w:val="0"/>
          <w:i w:val="0"/>
          <w:sz w:val="22"/>
        </w:rPr>
        <w:t xml:space="preserve"> versus d gives R</w:t>
      </w:r>
      <w:r>
        <w:rPr>
          <w:rFonts w:ascii="Times New Roman" w:hAnsi="Times New Roman"/>
          <w:b w:val="0"/>
          <w:i w:val="0"/>
          <w:sz w:val="22"/>
          <w:vertAlign w:val="subscript"/>
        </w:rPr>
        <w:t>sh</w:t>
      </w:r>
      <w:r>
        <w:rPr>
          <w:rFonts w:ascii="Times New Roman" w:hAnsi="Times New Roman"/>
          <w:b w:val="0"/>
          <w:i w:val="0"/>
          <w:sz w:val="22"/>
        </w:rPr>
        <w:t xml:space="preserve"> from the slope and 2R</w:t>
      </w:r>
      <w:r>
        <w:rPr>
          <w:rFonts w:ascii="Times New Roman" w:hAnsi="Times New Roman"/>
          <w:b w:val="0"/>
          <w:i w:val="0"/>
          <w:sz w:val="22"/>
          <w:vertAlign w:val="subscript"/>
        </w:rPr>
        <w:t>c</w:t>
      </w:r>
      <w:r>
        <w:rPr>
          <w:rFonts w:ascii="Times New Roman" w:hAnsi="Times New Roman"/>
          <w:b w:val="0"/>
          <w:i w:val="0"/>
          <w:sz w:val="22"/>
        </w:rPr>
        <w:t xml:space="preserve"> from the intercept; the specific contact resistivity then follows as ρ</w:t>
      </w:r>
      <w:r>
        <w:rPr>
          <w:rFonts w:ascii="Times New Roman" w:hAnsi="Times New Roman"/>
          <w:b w:val="0"/>
          <w:i w:val="0"/>
          <w:sz w:val="22"/>
          <w:vertAlign w:val="subscript"/>
        </w:rPr>
        <w:t>c</w:t>
      </w:r>
      <w:r>
        <w:rPr>
          <w:rFonts w:ascii="Times New Roman" w:hAnsi="Times New Roman"/>
          <w:b w:val="0"/>
          <w:i w:val="0"/>
          <w:sz w:val="22"/>
        </w:rPr>
        <w:t xml:space="preserve"> = R</w:t>
      </w:r>
      <w:r>
        <w:rPr>
          <w:rFonts w:ascii="Times New Roman" w:hAnsi="Times New Roman"/>
          <w:b w:val="0"/>
          <w:i w:val="0"/>
          <w:sz w:val="22"/>
          <w:vertAlign w:val="subscript"/>
        </w:rPr>
        <w:t>c</w:t>
      </w:r>
      <w:r>
        <w:rPr>
          <w:rFonts w:ascii="Times New Roman" w:hAnsi="Times New Roman"/>
          <w:b w:val="0"/>
          <w:i w:val="0"/>
          <w:sz w:val="22"/>
        </w:rPr>
        <w:t xml:space="preserve"> · W · L</w:t>
      </w:r>
      <w:r>
        <w:rPr>
          <w:rFonts w:ascii="Times New Roman" w:hAnsi="Times New Roman"/>
          <w:b w:val="0"/>
          <w:i w:val="0"/>
          <w:sz w:val="22"/>
          <w:vertAlign w:val="subscript"/>
        </w:rPr>
        <w:t>T</w:t>
      </w:r>
      <w:r>
        <w:rPr>
          <w:rFonts w:ascii="Times New Roman" w:hAnsi="Times New Roman"/>
          <w:b w:val="0"/>
          <w:i w:val="0"/>
          <w:sz w:val="22"/>
        </w:rPr>
        <w:t xml:space="preserve"> · tanh(L / L</w:t>
      </w:r>
      <w:r>
        <w:rPr>
          <w:rFonts w:ascii="Times New Roman" w:hAnsi="Times New Roman"/>
          <w:b w:val="0"/>
          <w:i w:val="0"/>
          <w:sz w:val="22"/>
          <w:vertAlign w:val="subscript"/>
        </w:rPr>
        <w:t>T</w:t>
      </w:r>
      <w:r>
        <w:rPr>
          <w:rFonts w:ascii="Times New Roman" w:hAnsi="Times New Roman"/>
          <w:b w:val="0"/>
          <w:i w:val="0"/>
          <w:sz w:val="22"/>
        </w:rPr>
        <w:t>). The three finger widths in the ladder make the width dependence of L</w:t>
      </w:r>
      <w:r>
        <w:rPr>
          <w:rFonts w:ascii="Times New Roman" w:hAnsi="Times New Roman"/>
          <w:b w:val="0"/>
          <w:i w:val="0"/>
          <w:sz w:val="22"/>
          <w:vertAlign w:val="subscript"/>
        </w:rPr>
        <w:t>T</w:t>
      </w:r>
      <w:r>
        <w:rPr>
          <w:rFonts w:ascii="Times New Roman" w:hAnsi="Times New Roman"/>
          <w:b w:val="0"/>
          <w:i w:val="0"/>
          <w:sz w:val="22"/>
        </w:rPr>
        <w:t xml:space="preserve"> directly measurable.</w:t>
      </w:r>
    </w:p>
    <w:p>
      <w:pPr>
        <w:spacing w:before="160" w:after="60"/>
      </w:pPr>
      <w:r>
        <w:rPr>
          <w:rFonts w:ascii="Times New Roman" w:hAnsi="Times New Roman"/>
          <w:b/>
          <w:i w:val="0"/>
          <w:sz w:val="19"/>
        </w:rPr>
        <w:t>Table IV. TLM extraction per finger width.</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after="20" w:before="20"/>
              <w:jc w:val="center"/>
            </w:pPr>
            <w:r/>
            <w:r>
              <w:rPr>
                <w:rFonts w:ascii="Times New Roman" w:hAnsi="Times New Roman"/>
                <w:b/>
                <w:i w:val="0"/>
                <w:sz w:val="19"/>
              </w:rPr>
              <w:t>Sample / condition</w:t>
            </w:r>
          </w:p>
        </w:tc>
        <w:tc>
          <w:tcPr>
            <w:tcW w:type="dxa" w:w="1440"/>
            <w:shd w:val="clear" w:color="auto" w:fill="D9E2F3"/>
          </w:tcPr>
          <w:p>
            <w:pPr>
              <w:spacing w:after="20" w:before="20"/>
              <w:jc w:val="center"/>
            </w:pPr>
            <w:r/>
            <w:r>
              <w:rPr>
                <w:rFonts w:ascii="Times New Roman" w:hAnsi="Times New Roman"/>
                <w:b/>
                <w:i w:val="0"/>
                <w:sz w:val="19"/>
              </w:rPr>
              <w:t>Width W (mm)</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sh</w:t>
            </w:r>
            <w:r>
              <w:rPr>
                <w:rFonts w:ascii="Times New Roman" w:hAnsi="Times New Roman"/>
                <w:b/>
                <w:i w:val="0"/>
                <w:sz w:val="19"/>
              </w:rPr>
              <w:t xml:space="preserve"> (Ω/sq)</w:t>
            </w:r>
          </w:p>
        </w:tc>
        <w:tc>
          <w:tcPr>
            <w:tcW w:type="dxa" w:w="1440"/>
            <w:shd w:val="clear" w:color="auto" w:fill="D9E2F3"/>
          </w:tcPr>
          <w:p>
            <w:pPr>
              <w:spacing w:after="20" w:before="20"/>
              <w:jc w:val="center"/>
            </w:pPr>
            <w:r/>
            <w:r>
              <w:rPr>
                <w:rFonts w:ascii="Times New Roman" w:hAnsi="Times New Roman"/>
                <w:b/>
                <w:i w:val="0"/>
                <w:sz w:val="19"/>
              </w:rPr>
              <w:t>2R</w:t>
            </w:r>
            <w:r>
              <w:rPr>
                <w:rFonts w:ascii="Times New Roman" w:hAnsi="Times New Roman"/>
                <w:b/>
                <w:i w:val="0"/>
                <w:sz w:val="19"/>
                <w:vertAlign w:val="subscript"/>
              </w:rPr>
              <w:t>c</w:t>
            </w:r>
            <w:r>
              <w:rPr>
                <w:rFonts w:ascii="Times New Roman" w:hAnsi="Times New Roman"/>
                <w:b/>
                <w:i w:val="0"/>
                <w:sz w:val="19"/>
              </w:rPr>
              <w:t xml:space="preserve"> (Ω)</w:t>
            </w:r>
          </w:p>
        </w:tc>
        <w:tc>
          <w:tcPr>
            <w:tcW w:type="dxa" w:w="1440"/>
            <w:shd w:val="clear" w:color="auto" w:fill="D9E2F3"/>
          </w:tcPr>
          <w:p>
            <w:pPr>
              <w:spacing w:after="20" w:before="20"/>
              <w:jc w:val="center"/>
            </w:pPr>
            <w:r/>
            <w:r>
              <w:rPr>
                <w:rFonts w:ascii="Times New Roman" w:hAnsi="Times New Roman"/>
                <w:b/>
                <w:i w:val="0"/>
                <w:sz w:val="19"/>
              </w:rPr>
              <w:t>L</w:t>
            </w:r>
            <w:r>
              <w:rPr>
                <w:rFonts w:ascii="Times New Roman" w:hAnsi="Times New Roman"/>
                <w:b/>
                <w:i w:val="0"/>
                <w:sz w:val="19"/>
                <w:vertAlign w:val="subscript"/>
              </w:rPr>
              <w:t>T</w:t>
            </w:r>
            <w:r>
              <w:rPr>
                <w:rFonts w:ascii="Times New Roman" w:hAnsi="Times New Roman"/>
                <w:b/>
                <w:i w:val="0"/>
                <w:sz w:val="19"/>
              </w:rPr>
              <w:t xml:space="preserve"> (µm)</w:t>
            </w:r>
          </w:p>
        </w:tc>
        <w:tc>
          <w:tcPr>
            <w:tcW w:type="dxa" w:w="1440"/>
            <w:shd w:val="clear" w:color="auto" w:fill="D9E2F3"/>
          </w:tcPr>
          <w:p>
            <w:pPr>
              <w:spacing w:after="20" w:before="20"/>
              <w:jc w:val="center"/>
            </w:pPr>
            <w:r/>
            <w:r>
              <w:rPr>
                <w:rFonts w:ascii="Times New Roman" w:hAnsi="Times New Roman"/>
                <w:b/>
                <w:i w:val="0"/>
                <w:sz w:val="19"/>
              </w:rPr>
              <w:t>ρ</w:t>
            </w:r>
            <w:r>
              <w:rPr>
                <w:rFonts w:ascii="Times New Roman" w:hAnsi="Times New Roman"/>
                <w:b/>
                <w:i w:val="0"/>
                <w:sz w:val="19"/>
                <w:vertAlign w:val="subscript"/>
              </w:rPr>
              <w:t>c</w:t>
            </w:r>
            <w:r>
              <w:rPr>
                <w:rFonts w:ascii="Times New Roman" w:hAnsi="Times New Roman"/>
                <w:b/>
                <w:i w:val="0"/>
                <w:sz w:val="19"/>
              </w:rPr>
              <w:t xml:space="preserve"> (Ω·cm</w:t>
            </w:r>
            <w:r>
              <w:rPr>
                <w:rFonts w:ascii="Times New Roman" w:hAnsi="Times New Roman"/>
                <w:b/>
                <w:i w:val="0"/>
                <w:sz w:val="19"/>
                <w:vertAlign w:val="superscript"/>
              </w:rPr>
              <w:t>2</w:t>
            </w:r>
            <w:r>
              <w:rPr>
                <w:rFonts w:ascii="Times New Roman" w:hAnsi="Times New Roman"/>
                <w:b/>
                <w:i w:val="0"/>
                <w:sz w:val="19"/>
              </w:rPr>
              <w:t>)</w:t>
            </w:r>
          </w:p>
        </w:tc>
      </w:tr>
      <w:tr>
        <w:tc>
          <w:tcPr>
            <w:tcW w:type="dxa" w:w="1440"/>
          </w:tcPr>
          <w:p>
            <w:pPr>
              <w:spacing w:after="20" w:before="20"/>
            </w:pPr>
            <w:r/>
          </w:p>
        </w:tc>
        <w:tc>
          <w:tcPr>
            <w:tcW w:type="dxa" w:w="1440"/>
          </w:tcPr>
          <w:p>
            <w:pPr>
              <w:spacing w:after="20" w:before="20"/>
              <w:jc w:val="center"/>
            </w:pPr>
            <w:r/>
            <w:r>
              <w:rPr>
                <w:rFonts w:ascii="Times New Roman" w:hAnsi="Times New Roman"/>
                <w:b w:val="0"/>
                <w:i w:val="0"/>
                <w:sz w:val="19"/>
              </w:rPr>
              <w:t>0.25</w:t>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r>
        <w:tc>
          <w:tcPr>
            <w:tcW w:type="dxa" w:w="1440"/>
          </w:tcPr>
          <w:p>
            <w:pPr>
              <w:spacing w:after="20" w:before="20"/>
            </w:pPr>
            <w:r/>
          </w:p>
        </w:tc>
        <w:tc>
          <w:tcPr>
            <w:tcW w:type="dxa" w:w="1440"/>
          </w:tcPr>
          <w:p>
            <w:pPr>
              <w:spacing w:after="20" w:before="20"/>
              <w:jc w:val="center"/>
            </w:pPr>
            <w:r/>
            <w:r>
              <w:rPr>
                <w:rFonts w:ascii="Times New Roman" w:hAnsi="Times New Roman"/>
                <w:b w:val="0"/>
                <w:i w:val="0"/>
                <w:sz w:val="19"/>
              </w:rPr>
              <w:t>0.50</w:t>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r>
        <w:tc>
          <w:tcPr>
            <w:tcW w:type="dxa" w:w="1440"/>
          </w:tcPr>
          <w:p>
            <w:pPr>
              <w:spacing w:after="20" w:before="20"/>
            </w:pPr>
            <w:r/>
          </w:p>
        </w:tc>
        <w:tc>
          <w:tcPr>
            <w:tcW w:type="dxa" w:w="1440"/>
          </w:tcPr>
          <w:p>
            <w:pPr>
              <w:spacing w:after="20" w:before="20"/>
              <w:jc w:val="center"/>
            </w:pPr>
            <w:r/>
            <w:r>
              <w:rPr>
                <w:rFonts w:ascii="Times New Roman" w:hAnsi="Times New Roman"/>
                <w:b w:val="0"/>
                <w:i w:val="0"/>
                <w:sz w:val="19"/>
              </w:rPr>
              <w:t>1.00</w:t>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bl>
    <w:p>
      <w:pPr>
        <w:pStyle w:val="Heading2"/>
      </w:pPr>
      <w:r>
        <w:rPr>
          <w:rFonts w:ascii="Times New Roman" w:hAnsi="Times New Roman"/>
          <w:b w:val="0"/>
          <w:i w:val="0"/>
          <w:color w:val="000000"/>
          <w:sz w:val="22"/>
        </w:rPr>
        <w:t>D.  Sheet resistance (van der Pauw)</w:t>
      </w:r>
    </w:p>
    <w:p>
      <w:pPr>
        <w:spacing w:after="120" w:before="0"/>
      </w:pPr>
      <w:r>
        <w:rPr>
          <w:rFonts w:ascii="Times New Roman" w:hAnsi="Times New Roman"/>
          <w:b w:val="0"/>
          <w:i w:val="0"/>
          <w:sz w:val="22"/>
        </w:rPr>
        <w:t>Each symmetric cloverleaf gives the sheet resistance directly, with no contact-geometry correction, from the implicit van der Pauw relation</w:t>
      </w:r>
    </w:p>
    <w:p>
      <w:pPr>
        <w:spacing w:before="80" w:after="160"/>
        <w:jc w:val="center"/>
      </w:pPr>
      <w:r>
        <w:rPr>
          <w:rFonts w:ascii="Times New Roman" w:hAnsi="Times New Roman"/>
          <w:b w:val="0"/>
          <w:i w:val="0"/>
          <w:sz w:val="22"/>
        </w:rPr>
        <w:t>exp(−π R</w:t>
      </w:r>
      <w:r>
        <w:rPr>
          <w:rFonts w:ascii="Times New Roman" w:hAnsi="Times New Roman"/>
          <w:b w:val="0"/>
          <w:i w:val="0"/>
          <w:sz w:val="22"/>
          <w:vertAlign w:val="subscript"/>
        </w:rPr>
        <w:t>A</w:t>
      </w:r>
      <w:r>
        <w:rPr>
          <w:rFonts w:ascii="Times New Roman" w:hAnsi="Times New Roman"/>
          <w:b w:val="0"/>
          <w:i w:val="0"/>
          <w:sz w:val="22"/>
        </w:rPr>
        <w:t xml:space="preserve"> / R</w:t>
      </w:r>
      <w:r>
        <w:rPr>
          <w:rFonts w:ascii="Times New Roman" w:hAnsi="Times New Roman"/>
          <w:b w:val="0"/>
          <w:i w:val="0"/>
          <w:sz w:val="22"/>
          <w:vertAlign w:val="subscript"/>
        </w:rPr>
        <w:t>sh</w:t>
      </w:r>
      <w:r>
        <w:rPr>
          <w:rFonts w:ascii="Times New Roman" w:hAnsi="Times New Roman"/>
          <w:b w:val="0"/>
          <w:i w:val="0"/>
          <w:sz w:val="22"/>
        </w:rPr>
        <w:t>) + exp(−π R</w:t>
      </w:r>
      <w:r>
        <w:rPr>
          <w:rFonts w:ascii="Times New Roman" w:hAnsi="Times New Roman"/>
          <w:b w:val="0"/>
          <w:i w:val="0"/>
          <w:sz w:val="22"/>
          <w:vertAlign w:val="subscript"/>
        </w:rPr>
        <w:t>B</w:t>
      </w:r>
      <w:r>
        <w:rPr>
          <w:rFonts w:ascii="Times New Roman" w:hAnsi="Times New Roman"/>
          <w:b w:val="0"/>
          <w:i w:val="0"/>
          <w:sz w:val="22"/>
        </w:rPr>
        <w:t xml:space="preserve"> / R</w:t>
      </w:r>
      <w:r>
        <w:rPr>
          <w:rFonts w:ascii="Times New Roman" w:hAnsi="Times New Roman"/>
          <w:b w:val="0"/>
          <w:i w:val="0"/>
          <w:sz w:val="22"/>
          <w:vertAlign w:val="subscript"/>
        </w:rPr>
        <w:t>sh</w:t>
      </w:r>
      <w:r>
        <w:rPr>
          <w:rFonts w:ascii="Times New Roman" w:hAnsi="Times New Roman"/>
          <w:b w:val="0"/>
          <w:i w:val="0"/>
          <w:sz w:val="22"/>
        </w:rPr>
        <w:t>) = 1</w:t>
      </w:r>
    </w:p>
    <w:p>
      <w:pPr>
        <w:spacing w:after="120" w:before="0"/>
      </w:pPr>
      <w:r>
        <w:rPr>
          <w:rFonts w:ascii="Times New Roman" w:hAnsi="Times New Roman"/>
          <w:b w:val="0"/>
          <w:i w:val="0"/>
          <w:sz w:val="22"/>
        </w:rPr>
        <w:t>where R</w:t>
      </w:r>
      <w:r>
        <w:rPr>
          <w:rFonts w:ascii="Times New Roman" w:hAnsi="Times New Roman"/>
          <w:b w:val="0"/>
          <w:i w:val="0"/>
          <w:sz w:val="22"/>
          <w:vertAlign w:val="subscript"/>
        </w:rPr>
        <w:t>A</w:t>
      </w:r>
      <w:r>
        <w:rPr>
          <w:rFonts w:ascii="Times New Roman" w:hAnsi="Times New Roman"/>
          <w:b w:val="0"/>
          <w:i w:val="0"/>
          <w:sz w:val="22"/>
        </w:rPr>
        <w:t xml:space="preserve"> and R</w:t>
      </w:r>
      <w:r>
        <w:rPr>
          <w:rFonts w:ascii="Times New Roman" w:hAnsi="Times New Roman"/>
          <w:b w:val="0"/>
          <w:i w:val="0"/>
          <w:sz w:val="22"/>
          <w:vertAlign w:val="subscript"/>
        </w:rPr>
        <w:t>B</w:t>
      </w:r>
      <w:r>
        <w:rPr>
          <w:rFonts w:ascii="Times New Roman" w:hAnsi="Times New Roman"/>
          <w:b w:val="0"/>
          <w:i w:val="0"/>
          <w:sz w:val="22"/>
        </w:rPr>
        <w:t xml:space="preserve"> are the transverse four-point resistances measured at 90° rotation. For R</w:t>
      </w:r>
      <w:r>
        <w:rPr>
          <w:rFonts w:ascii="Times New Roman" w:hAnsi="Times New Roman"/>
          <w:b w:val="0"/>
          <w:i w:val="0"/>
          <w:sz w:val="22"/>
          <w:vertAlign w:val="subscript"/>
        </w:rPr>
        <w:t>A</w:t>
      </w:r>
      <w:r>
        <w:rPr>
          <w:rFonts w:ascii="Times New Roman" w:hAnsi="Times New Roman"/>
          <w:b w:val="0"/>
          <w:i w:val="0"/>
          <w:sz w:val="22"/>
        </w:rPr>
        <w:t xml:space="preserve"> ≈ R</w:t>
      </w:r>
      <w:r>
        <w:rPr>
          <w:rFonts w:ascii="Times New Roman" w:hAnsi="Times New Roman"/>
          <w:b w:val="0"/>
          <w:i w:val="0"/>
          <w:sz w:val="22"/>
          <w:vertAlign w:val="subscript"/>
        </w:rPr>
        <w:t>B</w:t>
      </w:r>
      <w:r>
        <w:rPr>
          <w:rFonts w:ascii="Times New Roman" w:hAnsi="Times New Roman"/>
          <w:b w:val="0"/>
          <w:i w:val="0"/>
          <w:sz w:val="22"/>
        </w:rPr>
        <w:t xml:space="preserve"> ≡ R this collapses to R</w:t>
      </w:r>
      <w:r>
        <w:rPr>
          <w:rFonts w:ascii="Times New Roman" w:hAnsi="Times New Roman"/>
          <w:b w:val="0"/>
          <w:i w:val="0"/>
          <w:sz w:val="22"/>
          <w:vertAlign w:val="subscript"/>
        </w:rPr>
        <w:t>sh</w:t>
      </w:r>
      <w:r>
        <w:rPr>
          <w:rFonts w:ascii="Times New Roman" w:hAnsi="Times New Roman"/>
          <w:b w:val="0"/>
          <w:i w:val="0"/>
          <w:sz w:val="22"/>
        </w:rPr>
        <w:t xml:space="preserve"> = (π / ln 2) · R. The cloverleaves cross-check the TLM slope and surface any width-dependent edge effects. The v1 board reported an effective sheet resistivity of 2.94 × 10⁻⁵ Ω·m for the ENIG pads [ref], a useful sanity check on the new readings.</w:t>
      </w:r>
    </w:p>
    <w:p>
      <w:pPr>
        <w:spacing w:before="160" w:after="60"/>
      </w:pPr>
      <w:r>
        <w:rPr>
          <w:rFonts w:ascii="Times New Roman" w:hAnsi="Times New Roman"/>
          <w:b/>
          <w:i w:val="0"/>
          <w:sz w:val="19"/>
        </w:rPr>
        <w:t>Table V. van der Pauw sheet resistance per cloverleaf.</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after="20" w:before="20"/>
              <w:jc w:val="center"/>
            </w:pPr>
            <w:r/>
            <w:r>
              <w:rPr>
                <w:rFonts w:ascii="Times New Roman" w:hAnsi="Times New Roman"/>
                <w:b/>
                <w:i w:val="0"/>
                <w:sz w:val="19"/>
              </w:rPr>
              <w:t>Sample / condition</w:t>
            </w:r>
          </w:p>
        </w:tc>
        <w:tc>
          <w:tcPr>
            <w:tcW w:type="dxa" w:w="1440"/>
            <w:shd w:val="clear" w:color="auto" w:fill="D9E2F3"/>
          </w:tcPr>
          <w:p>
            <w:pPr>
              <w:spacing w:after="20" w:before="20"/>
              <w:jc w:val="center"/>
            </w:pPr>
            <w:r/>
            <w:r>
              <w:rPr>
                <w:rFonts w:ascii="Times New Roman" w:hAnsi="Times New Roman"/>
                <w:b/>
                <w:i w:val="0"/>
                <w:sz w:val="19"/>
              </w:rPr>
              <w:t>Cloverleaf W (mm)</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A</w:t>
            </w:r>
            <w:r>
              <w:rPr>
                <w:rFonts w:ascii="Times New Roman" w:hAnsi="Times New Roman"/>
                <w:b/>
                <w:i w:val="0"/>
                <w:sz w:val="19"/>
              </w:rPr>
              <w:t xml:space="preserve"> (Ω)</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B</w:t>
            </w:r>
            <w:r>
              <w:rPr>
                <w:rFonts w:ascii="Times New Roman" w:hAnsi="Times New Roman"/>
                <w:b/>
                <w:i w:val="0"/>
                <w:sz w:val="19"/>
              </w:rPr>
              <w:t xml:space="preserve"> (Ω)</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sh</w:t>
            </w:r>
            <w:r>
              <w:rPr>
                <w:rFonts w:ascii="Times New Roman" w:hAnsi="Times New Roman"/>
                <w:b/>
                <w:i w:val="0"/>
                <w:sz w:val="19"/>
              </w:rPr>
              <w:t xml:space="preserve"> (Ω/sq)</w:t>
            </w:r>
          </w:p>
        </w:tc>
        <w:tc>
          <w:tcPr>
            <w:tcW w:type="dxa" w:w="1440"/>
            <w:shd w:val="clear" w:color="auto" w:fill="D9E2F3"/>
          </w:tcPr>
          <w:p>
            <w:pPr>
              <w:spacing w:after="20" w:before="20"/>
              <w:jc w:val="center"/>
            </w:pPr>
            <w:r/>
            <w:r>
              <w:rPr>
                <w:rFonts w:ascii="Times New Roman" w:hAnsi="Times New Roman"/>
                <w:b/>
                <w:i w:val="0"/>
                <w:sz w:val="19"/>
              </w:rPr>
              <w:t>ρ</w:t>
            </w:r>
            <w:r>
              <w:rPr>
                <w:rFonts w:ascii="Times New Roman" w:hAnsi="Times New Roman"/>
                <w:b/>
                <w:i w:val="0"/>
                <w:sz w:val="19"/>
                <w:vertAlign w:val="subscript"/>
              </w:rPr>
              <w:t>sheet</w:t>
            </w:r>
            <w:r>
              <w:rPr>
                <w:rFonts w:ascii="Times New Roman" w:hAnsi="Times New Roman"/>
                <w:b/>
                <w:i w:val="0"/>
                <w:sz w:val="19"/>
              </w:rPr>
              <w:t xml:space="preserve"> (Ω·m)</w:t>
            </w:r>
          </w:p>
        </w:tc>
      </w:tr>
      <w:tr>
        <w:tc>
          <w:tcPr>
            <w:tcW w:type="dxa" w:w="1440"/>
          </w:tcPr>
          <w:p>
            <w:pPr>
              <w:spacing w:after="20" w:before="20"/>
            </w:pPr>
            <w:r/>
          </w:p>
        </w:tc>
        <w:tc>
          <w:tcPr>
            <w:tcW w:type="dxa" w:w="1440"/>
          </w:tcPr>
          <w:p>
            <w:pPr>
              <w:spacing w:after="20" w:before="20"/>
              <w:jc w:val="center"/>
            </w:pPr>
            <w:r/>
            <w:r>
              <w:rPr>
                <w:rFonts w:ascii="Times New Roman" w:hAnsi="Times New Roman"/>
                <w:b w:val="0"/>
                <w:i w:val="0"/>
                <w:sz w:val="19"/>
              </w:rPr>
              <w:t>1.00</w:t>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r>
        <w:tc>
          <w:tcPr>
            <w:tcW w:type="dxa" w:w="1440"/>
          </w:tcPr>
          <w:p>
            <w:pPr>
              <w:spacing w:after="20" w:before="20"/>
            </w:pPr>
            <w:r/>
          </w:p>
        </w:tc>
        <w:tc>
          <w:tcPr>
            <w:tcW w:type="dxa" w:w="1440"/>
          </w:tcPr>
          <w:p>
            <w:pPr>
              <w:spacing w:after="20" w:before="20"/>
              <w:jc w:val="center"/>
            </w:pPr>
            <w:r/>
            <w:r>
              <w:rPr>
                <w:rFonts w:ascii="Times New Roman" w:hAnsi="Times New Roman"/>
                <w:b w:val="0"/>
                <w:i w:val="0"/>
                <w:sz w:val="19"/>
              </w:rPr>
              <w:t>0.50</w:t>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r>
        <w:tc>
          <w:tcPr>
            <w:tcW w:type="dxa" w:w="1440"/>
          </w:tcPr>
          <w:p>
            <w:pPr>
              <w:spacing w:after="20" w:before="20"/>
            </w:pPr>
            <w:r/>
          </w:p>
        </w:tc>
        <w:tc>
          <w:tcPr>
            <w:tcW w:type="dxa" w:w="1440"/>
          </w:tcPr>
          <w:p>
            <w:pPr>
              <w:spacing w:after="20" w:before="20"/>
              <w:jc w:val="center"/>
            </w:pPr>
            <w:r/>
            <w:r>
              <w:rPr>
                <w:rFonts w:ascii="Times New Roman" w:hAnsi="Times New Roman"/>
                <w:b w:val="0"/>
                <w:i w:val="0"/>
                <w:sz w:val="19"/>
              </w:rPr>
              <w:t>0.25</w:t>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r>
        <w:tc>
          <w:tcPr>
            <w:tcW w:type="dxa" w:w="1440"/>
          </w:tcPr>
          <w:p>
            <w:pPr>
              <w:spacing w:after="20" w:before="20"/>
            </w:pPr>
            <w:r/>
          </w:p>
        </w:tc>
        <w:tc>
          <w:tcPr>
            <w:tcW w:type="dxa" w:w="1440"/>
          </w:tcPr>
          <w:p>
            <w:pPr>
              <w:spacing w:after="20" w:before="20"/>
              <w:jc w:val="center"/>
            </w:pPr>
            <w:r/>
            <w:r>
              <w:rPr>
                <w:rFonts w:ascii="Times New Roman" w:hAnsi="Times New Roman"/>
                <w:b w:val="0"/>
                <w:i w:val="0"/>
                <w:sz w:val="19"/>
              </w:rPr>
              <w:t>0.15</w:t>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bl>
    <w:p>
      <w:pPr>
        <w:pStyle w:val="Heading2"/>
      </w:pPr>
      <w:r>
        <w:rPr>
          <w:rFonts w:ascii="Times New Roman" w:hAnsi="Times New Roman"/>
          <w:b w:val="0"/>
          <w:i w:val="0"/>
          <w:color w:val="000000"/>
          <w:sz w:val="22"/>
        </w:rPr>
        <w:t>E.  Junction-to-substrate thermal resistance (forward-voltage thermometry)</w:t>
      </w:r>
    </w:p>
    <w:p>
      <w:pPr>
        <w:spacing w:after="120" w:before="0"/>
      </w:pPr>
      <w:r>
        <w:rPr>
          <w:rFonts w:ascii="Times New Roman" w:hAnsi="Times New Roman"/>
          <w:b w:val="0"/>
          <w:i w:val="0"/>
          <w:sz w:val="22"/>
        </w:rPr>
        <w:t>The LED forward voltage at a fixed low sense current falls almost linearly with junction temperature, so the diode is its own thermometer. With the temperature-sensitive parameter S ≡ −∂V</w:t>
      </w:r>
      <w:r>
        <w:rPr>
          <w:rFonts w:ascii="Times New Roman" w:hAnsi="Times New Roman"/>
          <w:b w:val="0"/>
          <w:i w:val="0"/>
          <w:sz w:val="22"/>
          <w:vertAlign w:val="subscript"/>
        </w:rPr>
        <w:t>F</w:t>
      </w:r>
      <w:r>
        <w:rPr>
          <w:rFonts w:ascii="Times New Roman" w:hAnsi="Times New Roman"/>
          <w:b w:val="0"/>
          <w:i w:val="0"/>
          <w:sz w:val="22"/>
        </w:rPr>
        <w:t>/∂T</w:t>
      </w:r>
      <w:r>
        <w:rPr>
          <w:rFonts w:ascii="Times New Roman" w:hAnsi="Times New Roman"/>
          <w:b w:val="0"/>
          <w:i w:val="0"/>
          <w:sz w:val="22"/>
          <w:vertAlign w:val="subscript"/>
        </w:rPr>
        <w:t>J</w:t>
      </w:r>
      <w:r>
        <w:rPr>
          <w:rFonts w:ascii="Times New Roman" w:hAnsi="Times New Roman"/>
          <w:b w:val="0"/>
          <w:i w:val="0"/>
          <w:sz w:val="22"/>
        </w:rPr>
        <w:t xml:space="preserve"> calibrated once,</w:t>
      </w:r>
    </w:p>
    <w:p>
      <w:pPr>
        <w:spacing w:before="80" w:after="160"/>
        <w:jc w:val="center"/>
      </w:pPr>
      <w:r>
        <w:rPr>
          <w:rFonts w:ascii="Times New Roman" w:hAnsi="Times New Roman"/>
          <w:b w:val="0"/>
          <w:i w:val="0"/>
          <w:sz w:val="22"/>
        </w:rPr>
        <w:t>T</w:t>
      </w:r>
      <w:r>
        <w:rPr>
          <w:rFonts w:ascii="Times New Roman" w:hAnsi="Times New Roman"/>
          <w:b w:val="0"/>
          <w:i w:val="0"/>
          <w:sz w:val="22"/>
          <w:vertAlign w:val="subscript"/>
        </w:rPr>
        <w:t>J</w:t>
      </w:r>
      <w:r>
        <w:rPr>
          <w:rFonts w:ascii="Times New Roman" w:hAnsi="Times New Roman"/>
          <w:b w:val="0"/>
          <w:i w:val="0"/>
          <w:sz w:val="22"/>
        </w:rPr>
        <w:t>(t) = T</w:t>
      </w:r>
      <w:r>
        <w:rPr>
          <w:rFonts w:ascii="Times New Roman" w:hAnsi="Times New Roman"/>
          <w:b w:val="0"/>
          <w:i w:val="0"/>
          <w:sz w:val="22"/>
          <w:vertAlign w:val="subscript"/>
        </w:rPr>
        <w:t>J,0</w:t>
      </w:r>
      <w:r>
        <w:rPr>
          <w:rFonts w:ascii="Times New Roman" w:hAnsi="Times New Roman"/>
          <w:b w:val="0"/>
          <w:i w:val="0"/>
          <w:sz w:val="22"/>
        </w:rPr>
        <w:t xml:space="preserve"> − (1/S) · [ V</w:t>
      </w:r>
      <w:r>
        <w:rPr>
          <w:rFonts w:ascii="Times New Roman" w:hAnsi="Times New Roman"/>
          <w:b w:val="0"/>
          <w:i w:val="0"/>
          <w:sz w:val="22"/>
          <w:vertAlign w:val="subscript"/>
        </w:rPr>
        <w:t>F</w:t>
      </w:r>
      <w:r>
        <w:rPr>
          <w:rFonts w:ascii="Times New Roman" w:hAnsi="Times New Roman"/>
          <w:b w:val="0"/>
          <w:i w:val="0"/>
          <w:sz w:val="22"/>
        </w:rPr>
        <w:t>(t) − V</w:t>
      </w:r>
      <w:r>
        <w:rPr>
          <w:rFonts w:ascii="Times New Roman" w:hAnsi="Times New Roman"/>
          <w:b w:val="0"/>
          <w:i w:val="0"/>
          <w:sz w:val="22"/>
          <w:vertAlign w:val="subscript"/>
        </w:rPr>
        <w:t>F,0</w:t>
      </w:r>
      <w:r>
        <w:rPr>
          <w:rFonts w:ascii="Times New Roman" w:hAnsi="Times New Roman"/>
          <w:b w:val="0"/>
          <w:i w:val="0"/>
          <w:sz w:val="22"/>
        </w:rPr>
        <w:t xml:space="preserve"> ]</w:t>
      </w:r>
    </w:p>
    <w:p>
      <w:pPr>
        <w:spacing w:after="120" w:before="0"/>
      </w:pPr>
      <w:r>
        <w:rPr>
          <w:rFonts w:ascii="Times New Roman" w:hAnsi="Times New Roman"/>
          <w:b w:val="0"/>
          <w:i w:val="0"/>
          <w:sz w:val="22"/>
        </w:rPr>
        <w:t>The substrate temperature is read from the interleaved NTCs (TH1–TH4) through the Steinhart-B relation 1/T = 1/T</w:t>
      </w:r>
      <w:r>
        <w:rPr>
          <w:rFonts w:ascii="Times New Roman" w:hAnsi="Times New Roman"/>
          <w:b w:val="0"/>
          <w:i w:val="0"/>
          <w:sz w:val="22"/>
          <w:vertAlign w:val="subscript"/>
        </w:rPr>
        <w:t>0</w:t>
      </w:r>
      <w:r>
        <w:rPr>
          <w:rFonts w:ascii="Times New Roman" w:hAnsi="Times New Roman"/>
          <w:b w:val="0"/>
          <w:i w:val="0"/>
          <w:sz w:val="22"/>
        </w:rPr>
        <w:t xml:space="preserve"> + (1/B) · ln(R/R</w:t>
      </w:r>
      <w:r>
        <w:rPr>
          <w:rFonts w:ascii="Times New Roman" w:hAnsi="Times New Roman"/>
          <w:b w:val="0"/>
          <w:i w:val="0"/>
          <w:sz w:val="22"/>
          <w:vertAlign w:val="subscript"/>
        </w:rPr>
        <w:t>0</w:t>
      </w:r>
      <w:r>
        <w:rPr>
          <w:rFonts w:ascii="Times New Roman" w:hAnsi="Times New Roman"/>
          <w:b w:val="0"/>
          <w:i w:val="0"/>
          <w:sz w:val="22"/>
        </w:rPr>
        <w:t>), with T</w:t>
      </w:r>
      <w:r>
        <w:rPr>
          <w:rFonts w:ascii="Times New Roman" w:hAnsi="Times New Roman"/>
          <w:b w:val="0"/>
          <w:i w:val="0"/>
          <w:sz w:val="22"/>
          <w:vertAlign w:val="subscript"/>
        </w:rPr>
        <w:t>0</w:t>
      </w:r>
      <w:r>
        <w:rPr>
          <w:rFonts w:ascii="Times New Roman" w:hAnsi="Times New Roman"/>
          <w:b w:val="0"/>
          <w:i w:val="0"/>
          <w:sz w:val="22"/>
        </w:rPr>
        <w:t xml:space="preserve"> = 298.15 K and R</w:t>
      </w:r>
      <w:r>
        <w:rPr>
          <w:rFonts w:ascii="Times New Roman" w:hAnsi="Times New Roman"/>
          <w:b w:val="0"/>
          <w:i w:val="0"/>
          <w:sz w:val="22"/>
          <w:vertAlign w:val="subscript"/>
        </w:rPr>
        <w:t>0</w:t>
      </w:r>
      <w:r>
        <w:rPr>
          <w:rFonts w:ascii="Times New Roman" w:hAnsi="Times New Roman"/>
          <w:b w:val="0"/>
          <w:i w:val="0"/>
          <w:sz w:val="22"/>
        </w:rPr>
        <w:t xml:space="preserve"> = 10 kΩ. To suppress self-heating bias the sense current is pulsed (100 µA, 1 ms, 10% duty). The bond-joint thermal resistance is the steady-state ratio of the junction-to-substrate temperature difference to the dissipated power:</w:t>
      </w:r>
    </w:p>
    <w:p>
      <w:pPr>
        <w:spacing w:before="80" w:after="160"/>
        <w:jc w:val="center"/>
      </w:pPr>
      <w:r>
        <w:rPr>
          <w:rFonts w:ascii="Times New Roman" w:hAnsi="Times New Roman"/>
          <w:b w:val="0"/>
          <w:i w:val="0"/>
          <w:sz w:val="22"/>
        </w:rPr>
        <w:t>R</w:t>
      </w:r>
      <w:r>
        <w:rPr>
          <w:rFonts w:ascii="Times New Roman" w:hAnsi="Times New Roman"/>
          <w:b w:val="0"/>
          <w:i w:val="0"/>
          <w:sz w:val="22"/>
          <w:vertAlign w:val="subscript"/>
        </w:rPr>
        <w:t>th,bond</w:t>
      </w:r>
      <w:r>
        <w:rPr>
          <w:rFonts w:ascii="Times New Roman" w:hAnsi="Times New Roman"/>
          <w:b w:val="0"/>
          <w:i w:val="0"/>
          <w:sz w:val="22"/>
        </w:rPr>
        <w:t xml:space="preserve"> = [ T</w:t>
      </w:r>
      <w:r>
        <w:rPr>
          <w:rFonts w:ascii="Times New Roman" w:hAnsi="Times New Roman"/>
          <w:b w:val="0"/>
          <w:i w:val="0"/>
          <w:sz w:val="22"/>
          <w:vertAlign w:val="subscript"/>
        </w:rPr>
        <w:t>J</w:t>
      </w:r>
      <w:r>
        <w:rPr>
          <w:rFonts w:ascii="Times New Roman" w:hAnsi="Times New Roman"/>
          <w:b w:val="0"/>
          <w:i w:val="0"/>
          <w:sz w:val="22"/>
        </w:rPr>
        <w:t>(∞) − T</w:t>
      </w:r>
      <w:r>
        <w:rPr>
          <w:rFonts w:ascii="Times New Roman" w:hAnsi="Times New Roman"/>
          <w:b w:val="0"/>
          <w:i w:val="0"/>
          <w:sz w:val="22"/>
          <w:vertAlign w:val="subscript"/>
        </w:rPr>
        <w:t>NTC</w:t>
      </w:r>
      <w:r>
        <w:rPr>
          <w:rFonts w:ascii="Times New Roman" w:hAnsi="Times New Roman"/>
          <w:b w:val="0"/>
          <w:i w:val="0"/>
          <w:sz w:val="22"/>
        </w:rPr>
        <w:t>(∞) ] / P</w:t>
      </w:r>
      <w:r>
        <w:rPr>
          <w:rFonts w:ascii="Times New Roman" w:hAnsi="Times New Roman"/>
          <w:b w:val="0"/>
          <w:i w:val="0"/>
          <w:sz w:val="22"/>
          <w:vertAlign w:val="subscript"/>
        </w:rPr>
        <w:t>op</w:t>
      </w:r>
    </w:p>
    <w:p>
      <w:pPr>
        <w:spacing w:before="160" w:after="60"/>
      </w:pPr>
      <w:r>
        <w:rPr>
          <w:rFonts w:ascii="Times New Roman" w:hAnsi="Times New Roman"/>
          <w:b/>
          <w:i w:val="0"/>
          <w:sz w:val="19"/>
        </w:rPr>
        <w:t>Table VI. Forward-voltage thermometry: calibrated slope and extracted junction-to-substrate thermal resistance.</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after="20" w:before="20"/>
              <w:jc w:val="center"/>
            </w:pPr>
            <w:r/>
            <w:r>
              <w:rPr>
                <w:rFonts w:ascii="Times New Roman" w:hAnsi="Times New Roman"/>
                <w:b/>
                <w:i w:val="0"/>
                <w:sz w:val="19"/>
              </w:rPr>
              <w:t>Sample / condition</w:t>
            </w:r>
          </w:p>
        </w:tc>
        <w:tc>
          <w:tcPr>
            <w:tcW w:type="dxa" w:w="1440"/>
            <w:shd w:val="clear" w:color="auto" w:fill="D9E2F3"/>
          </w:tcPr>
          <w:p>
            <w:pPr>
              <w:spacing w:after="20" w:before="20"/>
              <w:jc w:val="center"/>
            </w:pPr>
            <w:r/>
            <w:r>
              <w:rPr>
                <w:rFonts w:ascii="Times New Roman" w:hAnsi="Times New Roman"/>
                <w:b/>
                <w:i w:val="0"/>
                <w:sz w:val="19"/>
              </w:rPr>
              <w:t>LED ID</w:t>
            </w:r>
          </w:p>
        </w:tc>
        <w:tc>
          <w:tcPr>
            <w:tcW w:type="dxa" w:w="1440"/>
            <w:shd w:val="clear" w:color="auto" w:fill="D9E2F3"/>
          </w:tcPr>
          <w:p>
            <w:pPr>
              <w:spacing w:after="20" w:before="20"/>
              <w:jc w:val="center"/>
            </w:pPr>
            <w:r/>
            <w:r>
              <w:rPr>
                <w:rFonts w:ascii="Times New Roman" w:hAnsi="Times New Roman"/>
                <w:b/>
                <w:i w:val="0"/>
                <w:sz w:val="19"/>
              </w:rPr>
              <w:t>S = −∂V</w:t>
            </w:r>
            <w:r>
              <w:rPr>
                <w:rFonts w:ascii="Times New Roman" w:hAnsi="Times New Roman"/>
                <w:b/>
                <w:i w:val="0"/>
                <w:sz w:val="19"/>
                <w:vertAlign w:val="subscript"/>
              </w:rPr>
              <w:t>F</w:t>
            </w:r>
            <w:r>
              <w:rPr>
                <w:rFonts w:ascii="Times New Roman" w:hAnsi="Times New Roman"/>
                <w:b/>
                <w:i w:val="0"/>
                <w:sz w:val="19"/>
              </w:rPr>
              <w:t>/∂T</w:t>
            </w:r>
            <w:r>
              <w:rPr>
                <w:rFonts w:ascii="Times New Roman" w:hAnsi="Times New Roman"/>
                <w:b/>
                <w:i w:val="0"/>
                <w:sz w:val="19"/>
                <w:vertAlign w:val="subscript"/>
              </w:rPr>
              <w:t>J</w:t>
            </w:r>
            <w:r>
              <w:rPr>
                <w:rFonts w:ascii="Times New Roman" w:hAnsi="Times New Roman"/>
                <w:b/>
                <w:i w:val="0"/>
                <w:sz w:val="19"/>
              </w:rPr>
              <w:t xml:space="preserve"> (mV/K)</w:t>
            </w:r>
          </w:p>
        </w:tc>
        <w:tc>
          <w:tcPr>
            <w:tcW w:type="dxa" w:w="1440"/>
            <w:shd w:val="clear" w:color="auto" w:fill="D9E2F3"/>
          </w:tcPr>
          <w:p>
            <w:pPr>
              <w:spacing w:after="20" w:before="20"/>
              <w:jc w:val="center"/>
            </w:pPr>
            <w:r/>
            <w:r>
              <w:rPr>
                <w:rFonts w:ascii="Times New Roman" w:hAnsi="Times New Roman"/>
                <w:b/>
                <w:i w:val="0"/>
                <w:sz w:val="19"/>
              </w:rPr>
              <w:t>P</w:t>
            </w:r>
            <w:r>
              <w:rPr>
                <w:rFonts w:ascii="Times New Roman" w:hAnsi="Times New Roman"/>
                <w:b/>
                <w:i w:val="0"/>
                <w:sz w:val="19"/>
                <w:vertAlign w:val="subscript"/>
              </w:rPr>
              <w:t>op</w:t>
            </w:r>
            <w:r>
              <w:rPr>
                <w:rFonts w:ascii="Times New Roman" w:hAnsi="Times New Roman"/>
                <w:b/>
                <w:i w:val="0"/>
                <w:sz w:val="19"/>
              </w:rPr>
              <w:t xml:space="preserve"> (mW)</w:t>
            </w:r>
          </w:p>
        </w:tc>
        <w:tc>
          <w:tcPr>
            <w:tcW w:type="dxa" w:w="1440"/>
            <w:shd w:val="clear" w:color="auto" w:fill="D9E2F3"/>
          </w:tcPr>
          <w:p>
            <w:pPr>
              <w:spacing w:after="20" w:before="20"/>
              <w:jc w:val="center"/>
            </w:pPr>
            <w:r/>
            <w:r>
              <w:rPr>
                <w:rFonts w:ascii="Times New Roman" w:hAnsi="Times New Roman"/>
                <w:b/>
                <w:i w:val="0"/>
                <w:sz w:val="19"/>
              </w:rPr>
              <w:t>ΔT (K)</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th,bond</w:t>
            </w:r>
            <w:r>
              <w:rPr>
                <w:rFonts w:ascii="Times New Roman" w:hAnsi="Times New Roman"/>
                <w:b/>
                <w:i w:val="0"/>
                <w:sz w:val="19"/>
              </w:rPr>
              <w:t xml:space="preserve"> (K/W)</w:t>
            </w:r>
          </w:p>
        </w:tc>
      </w:tr>
      <w:tr>
        <w:tc>
          <w:tcPr>
            <w:tcW w:type="dxa" w:w="1440"/>
          </w:tcPr>
          <w:p>
            <w:pPr>
              <w:spacing w:after="20" w:before="20"/>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r>
        <w:tc>
          <w:tcPr>
            <w:tcW w:type="dxa" w:w="1440"/>
          </w:tcPr>
          <w:p>
            <w:pPr>
              <w:spacing w:after="20" w:before="20"/>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r>
        <w:tc>
          <w:tcPr>
            <w:tcW w:type="dxa" w:w="1440"/>
          </w:tcPr>
          <w:p>
            <w:pPr>
              <w:spacing w:after="20" w:before="20"/>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r>
        <w:tc>
          <w:tcPr>
            <w:tcW w:type="dxa" w:w="1440"/>
          </w:tcPr>
          <w:p>
            <w:pPr>
              <w:spacing w:after="20" w:before="20"/>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bl>
    <w:p>
      <w:pPr>
        <w:pStyle w:val="Heading2"/>
      </w:pPr>
      <w:r>
        <w:rPr>
          <w:rFonts w:ascii="Times New Roman" w:hAnsi="Times New Roman"/>
          <w:b w:val="0"/>
          <w:i w:val="0"/>
          <w:color w:val="000000"/>
          <w:sz w:val="22"/>
        </w:rPr>
        <w:t>F.  Impedance spectroscopy (optional)</w:t>
      </w:r>
    </w:p>
    <w:p>
      <w:pPr>
        <w:spacing w:after="120" w:before="0"/>
      </w:pPr>
      <w:r>
        <w:rPr>
          <w:rFonts w:ascii="Times New Roman" w:hAnsi="Times New Roman"/>
          <w:b w:val="0"/>
          <w:i w:val="0"/>
          <w:sz w:val="22"/>
        </w:rPr>
        <w:t>Sweeping a 10 mV AC excitation from 0.1 Hz to 1 MHz and recording the complex impedance Z(jω) = Z′ + jZ″ separates the series bond resistance (the high-frequency intercept, Z′ → R</w:t>
      </w:r>
      <w:r>
        <w:rPr>
          <w:rFonts w:ascii="Times New Roman" w:hAnsi="Times New Roman"/>
          <w:b w:val="0"/>
          <w:i w:val="0"/>
          <w:sz w:val="22"/>
          <w:vertAlign w:val="subscript"/>
        </w:rPr>
        <w:t>s</w:t>
      </w:r>
      <w:r>
        <w:rPr>
          <w:rFonts w:ascii="Times New Roman" w:hAnsi="Times New Roman"/>
          <w:b w:val="0"/>
          <w:i w:val="0"/>
          <w:sz w:val="22"/>
        </w:rPr>
        <w:t xml:space="preserve"> as ω → ∞) from the diode’s parallel RC dynamics. For the standard LED equivalent circuit (R</w:t>
      </w:r>
      <w:r>
        <w:rPr>
          <w:rFonts w:ascii="Times New Roman" w:hAnsi="Times New Roman"/>
          <w:b w:val="0"/>
          <w:i w:val="0"/>
          <w:sz w:val="22"/>
          <w:vertAlign w:val="subscript"/>
        </w:rPr>
        <w:t>s</w:t>
      </w:r>
      <w:r>
        <w:rPr>
          <w:rFonts w:ascii="Times New Roman" w:hAnsi="Times New Roman"/>
          <w:b w:val="0"/>
          <w:i w:val="0"/>
          <w:sz w:val="22"/>
        </w:rPr>
        <w:t xml:space="preserve"> in series with R</w:t>
      </w:r>
      <w:r>
        <w:rPr>
          <w:rFonts w:ascii="Times New Roman" w:hAnsi="Times New Roman"/>
          <w:b w:val="0"/>
          <w:i w:val="0"/>
          <w:sz w:val="22"/>
          <w:vertAlign w:val="subscript"/>
        </w:rPr>
        <w:t>p</w:t>
      </w:r>
      <w:r>
        <w:rPr>
          <w:rFonts w:ascii="Times New Roman" w:hAnsi="Times New Roman"/>
          <w:b w:val="0"/>
          <w:i w:val="0"/>
          <w:sz w:val="22"/>
        </w:rPr>
        <w:t xml:space="preserve"> ∥ C</w:t>
      </w:r>
      <w:r>
        <w:rPr>
          <w:rFonts w:ascii="Times New Roman" w:hAnsi="Times New Roman"/>
          <w:b w:val="0"/>
          <w:i w:val="0"/>
          <w:sz w:val="22"/>
          <w:vertAlign w:val="subscript"/>
        </w:rPr>
        <w:t>j</w:t>
      </w:r>
      <w:r>
        <w:rPr>
          <w:rFonts w:ascii="Times New Roman" w:hAnsi="Times New Roman"/>
          <w:b w:val="0"/>
          <w:i w:val="0"/>
          <w:sz w:val="22"/>
        </w:rPr>
        <w:t>),</w:t>
      </w:r>
    </w:p>
    <w:p>
      <w:pPr>
        <w:spacing w:before="80" w:after="160"/>
        <w:jc w:val="center"/>
      </w:pPr>
      <w:r>
        <w:rPr>
          <w:rFonts w:ascii="Times New Roman" w:hAnsi="Times New Roman"/>
          <w:b w:val="0"/>
          <w:i w:val="0"/>
          <w:sz w:val="22"/>
        </w:rPr>
        <w:t>Z(jω) = R</w:t>
      </w:r>
      <w:r>
        <w:rPr>
          <w:rFonts w:ascii="Times New Roman" w:hAnsi="Times New Roman"/>
          <w:b w:val="0"/>
          <w:i w:val="0"/>
          <w:sz w:val="22"/>
          <w:vertAlign w:val="subscript"/>
        </w:rPr>
        <w:t>s</w:t>
      </w:r>
      <w:r>
        <w:rPr>
          <w:rFonts w:ascii="Times New Roman" w:hAnsi="Times New Roman"/>
          <w:b w:val="0"/>
          <w:i w:val="0"/>
          <w:sz w:val="22"/>
        </w:rPr>
        <w:t xml:space="preserve"> + R</w:t>
      </w:r>
      <w:r>
        <w:rPr>
          <w:rFonts w:ascii="Times New Roman" w:hAnsi="Times New Roman"/>
          <w:b w:val="0"/>
          <w:i w:val="0"/>
          <w:sz w:val="22"/>
          <w:vertAlign w:val="subscript"/>
        </w:rPr>
        <w:t>p</w:t>
      </w:r>
      <w:r>
        <w:rPr>
          <w:rFonts w:ascii="Times New Roman" w:hAnsi="Times New Roman"/>
          <w:b w:val="0"/>
          <w:i w:val="0"/>
          <w:sz w:val="22"/>
        </w:rPr>
        <w:t xml:space="preserve"> / (1 + jω R</w:t>
      </w:r>
      <w:r>
        <w:rPr>
          <w:rFonts w:ascii="Times New Roman" w:hAnsi="Times New Roman"/>
          <w:b w:val="0"/>
          <w:i w:val="0"/>
          <w:sz w:val="22"/>
          <w:vertAlign w:val="subscript"/>
        </w:rPr>
        <w:t>p</w:t>
      </w:r>
      <w:r>
        <w:rPr>
          <w:rFonts w:ascii="Times New Roman" w:hAnsi="Times New Roman"/>
          <w:b w:val="0"/>
          <w:i w:val="0"/>
          <w:sz w:val="22"/>
        </w:rPr>
        <w:t xml:space="preserve"> C</w:t>
      </w:r>
      <w:r>
        <w:rPr>
          <w:rFonts w:ascii="Times New Roman" w:hAnsi="Times New Roman"/>
          <w:b w:val="0"/>
          <w:i w:val="0"/>
          <w:sz w:val="22"/>
          <w:vertAlign w:val="subscript"/>
        </w:rPr>
        <w:t>j</w:t>
      </w:r>
      <w:r>
        <w:rPr>
          <w:rFonts w:ascii="Times New Roman" w:hAnsi="Times New Roman"/>
          <w:b w:val="0"/>
          <w:i w:val="0"/>
          <w:sz w:val="22"/>
        </w:rPr>
        <w:t>)</w:t>
      </w:r>
    </w:p>
    <w:p>
      <w:pPr>
        <w:spacing w:after="120" w:before="0"/>
      </w:pPr>
      <w:r>
        <w:rPr>
          <w:rFonts w:ascii="Times New Roman" w:hAnsi="Times New Roman"/>
          <w:b w:val="0"/>
          <w:i w:val="0"/>
          <w:sz w:val="22"/>
        </w:rPr>
        <w:t>The on-board EIS OPEN, SHORT, and LOAD references (the 100 Ω 0.1% resistor) calibrate the fixture before the LED is measured.</w:t>
      </w:r>
    </w:p>
    <w:p>
      <w:pPr>
        <w:spacing w:before="160" w:after="60"/>
      </w:pPr>
      <w:r>
        <w:rPr>
          <w:rFonts w:ascii="Times New Roman" w:hAnsi="Times New Roman"/>
          <w:b/>
          <w:i w:val="0"/>
          <w:sz w:val="19"/>
        </w:rPr>
        <w:t>Table VII. EIS equivalent-circuit parameters.</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after="20" w:before="20"/>
              <w:jc w:val="center"/>
            </w:pPr>
            <w:r/>
            <w:r>
              <w:rPr>
                <w:rFonts w:ascii="Times New Roman" w:hAnsi="Times New Roman"/>
                <w:b/>
                <w:i w:val="0"/>
                <w:sz w:val="19"/>
              </w:rPr>
              <w:t>Sample / condition</w:t>
            </w:r>
          </w:p>
        </w:tc>
        <w:tc>
          <w:tcPr>
            <w:tcW w:type="dxa" w:w="1440"/>
            <w:shd w:val="clear" w:color="auto" w:fill="D9E2F3"/>
          </w:tcPr>
          <w:p>
            <w:pPr>
              <w:spacing w:after="20" w:before="20"/>
              <w:jc w:val="center"/>
            </w:pPr>
            <w:r/>
            <w:r>
              <w:rPr>
                <w:rFonts w:ascii="Times New Roman" w:hAnsi="Times New Roman"/>
                <w:b/>
                <w:i w:val="0"/>
                <w:sz w:val="19"/>
              </w:rPr>
              <w:t>LED ID</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s</w:t>
            </w:r>
            <w:r>
              <w:rPr>
                <w:rFonts w:ascii="Times New Roman" w:hAnsi="Times New Roman"/>
                <w:b/>
                <w:i w:val="0"/>
                <w:sz w:val="19"/>
              </w:rPr>
              <w:t xml:space="preserve"> (Ω)</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p</w:t>
            </w:r>
            <w:r>
              <w:rPr>
                <w:rFonts w:ascii="Times New Roman" w:hAnsi="Times New Roman"/>
                <w:b/>
                <w:i w:val="0"/>
                <w:sz w:val="19"/>
              </w:rPr>
              <w:t xml:space="preserve"> (Ω)</w:t>
            </w:r>
          </w:p>
        </w:tc>
        <w:tc>
          <w:tcPr>
            <w:tcW w:type="dxa" w:w="1440"/>
            <w:shd w:val="clear" w:color="auto" w:fill="D9E2F3"/>
          </w:tcPr>
          <w:p>
            <w:pPr>
              <w:spacing w:after="20" w:before="20"/>
              <w:jc w:val="center"/>
            </w:pPr>
            <w:r/>
            <w:r>
              <w:rPr>
                <w:rFonts w:ascii="Times New Roman" w:hAnsi="Times New Roman"/>
                <w:b/>
                <w:i w:val="0"/>
                <w:sz w:val="19"/>
              </w:rPr>
              <w:t>C</w:t>
            </w:r>
            <w:r>
              <w:rPr>
                <w:rFonts w:ascii="Times New Roman" w:hAnsi="Times New Roman"/>
                <w:b/>
                <w:i w:val="0"/>
                <w:sz w:val="19"/>
                <w:vertAlign w:val="subscript"/>
              </w:rPr>
              <w:t>j</w:t>
            </w:r>
            <w:r>
              <w:rPr>
                <w:rFonts w:ascii="Times New Roman" w:hAnsi="Times New Roman"/>
                <w:b/>
                <w:i w:val="0"/>
                <w:sz w:val="19"/>
              </w:rPr>
              <w:t xml:space="preserve"> (nF)</w:t>
            </w:r>
          </w:p>
        </w:tc>
        <w:tc>
          <w:tcPr>
            <w:tcW w:type="dxa" w:w="1440"/>
            <w:shd w:val="clear" w:color="auto" w:fill="D9E2F3"/>
          </w:tcPr>
          <w:p>
            <w:pPr>
              <w:spacing w:after="20" w:before="20"/>
              <w:jc w:val="center"/>
            </w:pPr>
            <w:r/>
            <w:r>
              <w:rPr>
                <w:rFonts w:ascii="Times New Roman" w:hAnsi="Times New Roman"/>
                <w:b/>
                <w:i w:val="0"/>
                <w:sz w:val="19"/>
              </w:rPr>
              <w:t>f</w:t>
            </w:r>
            <w:r>
              <w:rPr>
                <w:rFonts w:ascii="Times New Roman" w:hAnsi="Times New Roman"/>
                <w:b/>
                <w:i w:val="0"/>
                <w:sz w:val="19"/>
                <w:vertAlign w:val="subscript"/>
              </w:rPr>
              <w:t>peak</w:t>
            </w:r>
            <w:r>
              <w:rPr>
                <w:rFonts w:ascii="Times New Roman" w:hAnsi="Times New Roman"/>
                <w:b/>
                <w:i w:val="0"/>
                <w:sz w:val="19"/>
              </w:rPr>
              <w:t xml:space="preserve"> (kHz)</w:t>
            </w:r>
          </w:p>
        </w:tc>
      </w:tr>
      <w:tr>
        <w:tc>
          <w:tcPr>
            <w:tcW w:type="dxa" w:w="1440"/>
          </w:tcPr>
          <w:p>
            <w:pPr>
              <w:spacing w:after="20" w:before="20"/>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r>
        <w:tc>
          <w:tcPr>
            <w:tcW w:type="dxa" w:w="1440"/>
          </w:tcPr>
          <w:p>
            <w:pPr>
              <w:spacing w:after="20" w:before="20"/>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r>
        <w:tc>
          <w:tcPr>
            <w:tcW w:type="dxa" w:w="1440"/>
          </w:tcPr>
          <w:p>
            <w:pPr>
              <w:spacing w:after="20" w:before="20"/>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r>
        <w:tc>
          <w:tcPr>
            <w:tcW w:type="dxa" w:w="1440"/>
          </w:tcPr>
          <w:p>
            <w:pPr>
              <w:spacing w:after="20" w:before="20"/>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c>
          <w:tcPr>
            <w:tcW w:type="dxa" w:w="1440"/>
          </w:tcPr>
          <w:p>
            <w:pPr>
              <w:spacing w:after="20" w:before="20"/>
              <w:jc w:val="center"/>
            </w:pPr>
            <w:r/>
          </w:p>
        </w:tc>
      </w:tr>
    </w:tbl>
    <w:p>
      <w:pPr>
        <w:pStyle w:val="Heading2"/>
      </w:pPr>
      <w:r>
        <w:rPr>
          <w:rFonts w:ascii="Times New Roman" w:hAnsi="Times New Roman"/>
          <w:b w:val="0"/>
          <w:i w:val="0"/>
          <w:color w:val="000000"/>
          <w:sz w:val="22"/>
        </w:rPr>
        <w:t>G.  Summary of electrical results</w:t>
      </w:r>
    </w:p>
    <w:p>
      <w:pPr>
        <w:spacing w:after="120" w:before="0"/>
      </w:pPr>
      <w:r>
        <w:rPr>
          <w:rFonts w:ascii="Times New Roman" w:hAnsi="Times New Roman"/>
          <w:b w:val="0"/>
          <w:i w:val="0"/>
          <w:sz w:val="22"/>
        </w:rPr>
        <w:t>Table VIII collects the headline number from each method into a single per-condition comparison. Cross-condition variance is the figure of merit: it captures how wide each assembly process window actually is.</w:t>
      </w:r>
    </w:p>
    <w:p>
      <w:pPr>
        <w:spacing w:before="160" w:after="60"/>
      </w:pPr>
      <w:r>
        <w:rPr>
          <w:rFonts w:ascii="Times New Roman" w:hAnsi="Times New Roman"/>
          <w:b/>
          <w:i w:val="0"/>
          <w:sz w:val="19"/>
        </w:rPr>
        <w:t>Table VIII. Summary of electrical characterization across assembly conditions (one row per condition).</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pPr>
              <w:spacing w:after="20" w:before="20"/>
              <w:jc w:val="center"/>
            </w:pPr>
            <w:r/>
            <w:r>
              <w:rPr>
                <w:rFonts w:ascii="Times New Roman" w:hAnsi="Times New Roman"/>
                <w:b/>
                <w:i w:val="0"/>
                <w:sz w:val="19"/>
              </w:rPr>
              <w:t>Condition</w:t>
            </w:r>
          </w:p>
        </w:tc>
        <w:tc>
          <w:tcPr>
            <w:tcW w:type="dxa" w:w="1234"/>
            <w:shd w:val="clear" w:color="auto" w:fill="D9E2F3"/>
          </w:tcPr>
          <w:p>
            <w:pPr>
              <w:spacing w:after="20" w:before="20"/>
              <w:jc w:val="center"/>
            </w:pPr>
            <w:r/>
            <w:r>
              <w:rPr>
                <w:rFonts w:ascii="Times New Roman" w:hAnsi="Times New Roman"/>
                <w:b/>
                <w:i w:val="0"/>
                <w:sz w:val="19"/>
              </w:rPr>
              <w:t>Yield (%)</w:t>
            </w:r>
          </w:p>
        </w:tc>
        <w:tc>
          <w:tcPr>
            <w:tcW w:type="dxa" w:w="1234"/>
            <w:shd w:val="clear" w:color="auto" w:fill="D9E2F3"/>
          </w:tcPr>
          <w:p>
            <w:pPr>
              <w:spacing w:after="20" w:before="20"/>
              <w:jc w:val="center"/>
            </w:pPr>
            <w:r/>
            <w:r>
              <w:rPr>
                <w:rFonts w:ascii="Times New Roman" w:hAnsi="Times New Roman"/>
                <w:b/>
                <w:i w:val="0"/>
                <w:sz w:val="19"/>
              </w:rPr>
              <w:t>Mean R</w:t>
            </w:r>
            <w:r>
              <w:rPr>
                <w:rFonts w:ascii="Times New Roman" w:hAnsi="Times New Roman"/>
                <w:b/>
                <w:i w:val="0"/>
                <w:sz w:val="19"/>
                <w:vertAlign w:val="subscript"/>
              </w:rPr>
              <w:t>bond</w:t>
            </w:r>
            <w:r>
              <w:rPr>
                <w:rFonts w:ascii="Times New Roman" w:hAnsi="Times New Roman"/>
                <w:b/>
                <w:i w:val="0"/>
                <w:sz w:val="19"/>
              </w:rPr>
              <w:t xml:space="preserve"> (mΩ)</w:t>
            </w:r>
          </w:p>
        </w:tc>
        <w:tc>
          <w:tcPr>
            <w:tcW w:type="dxa" w:w="1234"/>
            <w:shd w:val="clear" w:color="auto" w:fill="D9E2F3"/>
          </w:tcPr>
          <w:p>
            <w:pPr>
              <w:spacing w:after="20" w:before="20"/>
              <w:jc w:val="center"/>
            </w:pPr>
            <w:r/>
            <w:r>
              <w:rPr>
                <w:rFonts w:ascii="Times New Roman" w:hAnsi="Times New Roman"/>
                <w:b/>
                <w:i w:val="0"/>
                <w:sz w:val="19"/>
              </w:rPr>
              <w:t>V</w:t>
            </w:r>
            <w:r>
              <w:rPr>
                <w:rFonts w:ascii="Times New Roman" w:hAnsi="Times New Roman"/>
                <w:b/>
                <w:i w:val="0"/>
                <w:sz w:val="19"/>
                <w:vertAlign w:val="subscript"/>
              </w:rPr>
              <w:t>F</w:t>
            </w:r>
            <w:r>
              <w:rPr>
                <w:rFonts w:ascii="Times New Roman" w:hAnsi="Times New Roman"/>
                <w:b/>
                <w:i w:val="0"/>
                <w:sz w:val="19"/>
              </w:rPr>
              <w:t xml:space="preserve"> at 10 mA (V)</w:t>
            </w:r>
          </w:p>
        </w:tc>
        <w:tc>
          <w:tcPr>
            <w:tcW w:type="dxa" w:w="1234"/>
            <w:shd w:val="clear" w:color="auto" w:fill="D9E2F3"/>
          </w:tcPr>
          <w:p>
            <w:pPr>
              <w:spacing w:after="20" w:before="20"/>
              <w:jc w:val="center"/>
            </w:pPr>
            <w:r/>
            <w:r>
              <w:rPr>
                <w:rFonts w:ascii="Times New Roman" w:hAnsi="Times New Roman"/>
                <w:b/>
                <w:i w:val="0"/>
                <w:sz w:val="19"/>
              </w:rPr>
              <w:t>ρ</w:t>
            </w:r>
            <w:r>
              <w:rPr>
                <w:rFonts w:ascii="Times New Roman" w:hAnsi="Times New Roman"/>
                <w:b/>
                <w:i w:val="0"/>
                <w:sz w:val="19"/>
                <w:vertAlign w:val="subscript"/>
              </w:rPr>
              <w:t>c</w:t>
            </w:r>
            <w:r>
              <w:rPr>
                <w:rFonts w:ascii="Times New Roman" w:hAnsi="Times New Roman"/>
                <w:b/>
                <w:i w:val="0"/>
                <w:sz w:val="19"/>
              </w:rPr>
              <w:t xml:space="preserve"> (Ω·cm</w:t>
            </w:r>
            <w:r>
              <w:rPr>
                <w:rFonts w:ascii="Times New Roman" w:hAnsi="Times New Roman"/>
                <w:b/>
                <w:i w:val="0"/>
                <w:sz w:val="19"/>
                <w:vertAlign w:val="superscript"/>
              </w:rPr>
              <w:t>2</w:t>
            </w:r>
            <w:r>
              <w:rPr>
                <w:rFonts w:ascii="Times New Roman" w:hAnsi="Times New Roman"/>
                <w:b/>
                <w:i w:val="0"/>
                <w:sz w:val="19"/>
              </w:rPr>
              <w:t>)</w:t>
            </w:r>
          </w:p>
        </w:tc>
        <w:tc>
          <w:tcPr>
            <w:tcW w:type="dxa" w:w="1234"/>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sh</w:t>
            </w:r>
            <w:r>
              <w:rPr>
                <w:rFonts w:ascii="Times New Roman" w:hAnsi="Times New Roman"/>
                <w:b/>
                <w:i w:val="0"/>
                <w:sz w:val="19"/>
              </w:rPr>
              <w:t xml:space="preserve"> (Ω/sq)</w:t>
            </w:r>
          </w:p>
        </w:tc>
        <w:tc>
          <w:tcPr>
            <w:tcW w:type="dxa" w:w="1234"/>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th,bond</w:t>
            </w:r>
            <w:r>
              <w:rPr>
                <w:rFonts w:ascii="Times New Roman" w:hAnsi="Times New Roman"/>
                <w:b/>
                <w:i w:val="0"/>
                <w:sz w:val="19"/>
              </w:rPr>
              <w:t xml:space="preserve"> (K/W)</w:t>
            </w:r>
          </w:p>
        </w:tc>
      </w:tr>
      <w:tr>
        <w:tc>
          <w:tcPr>
            <w:tcW w:type="dxa" w:w="1234"/>
          </w:tcPr>
          <w:p>
            <w:pPr>
              <w:spacing w:after="20" w:before="20"/>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r>
        <w:tc>
          <w:tcPr>
            <w:tcW w:type="dxa" w:w="1234"/>
          </w:tcPr>
          <w:p>
            <w:pPr>
              <w:spacing w:after="20" w:before="20"/>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r>
        <w:tc>
          <w:tcPr>
            <w:tcW w:type="dxa" w:w="1234"/>
          </w:tcPr>
          <w:p>
            <w:pPr>
              <w:spacing w:after="20" w:before="20"/>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r>
        <w:tc>
          <w:tcPr>
            <w:tcW w:type="dxa" w:w="1234"/>
          </w:tcPr>
          <w:p>
            <w:pPr>
              <w:spacing w:after="20" w:before="20"/>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r>
        <w:tc>
          <w:tcPr>
            <w:tcW w:type="dxa" w:w="1234"/>
          </w:tcPr>
          <w:p>
            <w:pPr>
              <w:spacing w:after="20" w:before="20"/>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c>
          <w:tcPr>
            <w:tcW w:type="dxa" w:w="1234"/>
          </w:tcPr>
          <w:p>
            <w:pPr>
              <w:spacing w:after="20" w:before="20"/>
              <w:jc w:val="center"/>
            </w:p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