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rial" w:hAnsi="Arial"/>
          <w:b/>
          <w:color w:val="000000"/>
          <w:sz w:val="52"/>
        </w:rPr>
        <w:t>Guía de uso y pruebas del Sistema Municipal de Multas</w:t>
      </w:r>
    </w:p>
    <w:p>
      <w:pPr>
        <w:spacing w:after="280"/>
      </w:pPr>
      <w:r>
        <w:rPr>
          <w:rFonts w:ascii="Arial" w:hAnsi="Arial"/>
          <w:color w:val="000000"/>
          <w:sz w:val="30"/>
        </w:rPr>
        <w:t>Portal ciudadano y área administrativa</w:t>
      </w:r>
    </w:p>
    <w:p>
      <w:pPr>
        <w:spacing w:before="0" w:after="200" w:line="271" w:lineRule="auto"/>
      </w:pPr>
      <w:r>
        <w:rPr>
          <w:rFonts w:ascii="Arial" w:hAnsi="Arial"/>
          <w:color w:val="262B25"/>
          <w:sz w:val="21"/>
        </w:rPr>
        <w:t>Esta guía permite que el equipo recorra las funciones ciudadanas y municipales, repita pruebas manuales y anote lo que observa. Cada caso incluye pasos y un resultado esperado. Para proteger la información, las pruebas que crean o modifican registros deben ejecutarse con datos sintéticos y en una base de QA aislada.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Actualizada. </w:t>
      </w:r>
      <w:r>
        <w:rPr>
          <w:rFonts w:ascii="Arial" w:hAnsi="Arial"/>
          <w:color w:val="262B25"/>
          <w:sz w:val="21"/>
        </w:rPr>
        <w:t>19 de septiembre de 2026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Alcance. </w:t>
      </w:r>
      <w:r>
        <w:rPr>
          <w:rFonts w:ascii="Arial" w:hAnsi="Arial"/>
          <w:color w:val="262B25"/>
          <w:sz w:val="21"/>
        </w:rPr>
        <w:t>Portal público, autenticación municipal, operaciones, control administrativo y verificación de resultados.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Cómo usar esta guía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Empiece por la sección ciudadana: sus consultas no requieren cuenta y cubren navegación, búsqueda, órdenes y verificación pública.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Para el área municipal, inicie sesión con un usuario de prueba y compruebe primero qué permisos le asignó su rol.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Siga los casos en orden, anote fecha, rol y resultado, y guarde capturas sin nombres, identificaciones, placas reales ni contraseñas.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262B25"/>
          <w:sz w:val="22"/>
        </w:rPr>
        <w:t>Si el resultado difiere de lo esperado, registre la ruta, el paso y el mensaje visible. No intente corregir registros directamente en MySQL.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Preparar el entorno local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proyecto se abre en el navegador en http://127.0.0.1:5173. La API corre en http://127.0.0.1:3000 y consulta el MySQL definido en la configuración local del backend.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Terminal del backend. </w:t>
      </w:r>
      <w:r>
        <w:rPr>
          <w:rFonts w:ascii="Arial" w:hAnsi="Arial"/>
          <w:color w:val="262B25"/>
          <w:sz w:val="21"/>
        </w:rPr>
        <w:t>Desde la raíz del repositorio, ejecute estos comandos y deje el proceso abierto: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cd multas-backend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dev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Terminal del frontend. </w:t>
      </w:r>
      <w:r>
        <w:rPr>
          <w:rFonts w:ascii="Arial" w:hAnsi="Arial"/>
          <w:color w:val="262B25"/>
          <w:sz w:val="21"/>
        </w:rPr>
        <w:t>En otra terminal, desde la raíz del repositorio: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dev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Comprobación antes de probar. </w:t>
      </w:r>
      <w:r>
        <w:rPr>
          <w:rFonts w:ascii="Arial" w:hAnsi="Arial"/>
          <w:color w:val="262B25"/>
          <w:sz w:val="21"/>
        </w:rPr>
        <w:t>GET /api/v1/system/health debe responder HTTP 200 y GET /api/v1/system/readiness debe responder HTTP 200 cuando MySQL está listo. Swagger está en /api/v1/docs.</w:t>
      </w:r>
    </w:p>
    <w:p>
      <w:pPr>
        <w:spacing w:before="0" w:after="160" w:line="271" w:lineRule="auto"/>
      </w:pPr>
      <w:r>
        <w:rPr>
          <w:rFonts w:ascii="Arial" w:hAnsi="Arial"/>
          <w:color w:val="262B25"/>
          <w:sz w:val="21"/>
        </w:rPr>
        <w:t>No use una base institucional para ensayar altas, pagos, reversos, emisión de solvencias o importaciones. Si no existe una base de QA separada, limite la revisión a navegación y consultas autorizadas hasta que el responsable de datos prepare una.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Datos sintéticos listos para QA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Ya se cargó la semilla reproducible multas-backend/database/seeds/002_qa_test_data.sql en la base local. Todos los valores de esta sección son ficticios y están identificados con el prefijo QA; no representan ciudadanos, placas, boletas ni documentos reales.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Para cargarla de nuevo. </w:t>
      </w:r>
      <w:r>
        <w:rPr>
          <w:rFonts w:ascii="Arial" w:hAnsi="Arial"/>
          <w:color w:val="262B25"/>
          <w:sz w:val="21"/>
        </w:rPr>
        <w:t>Desde multas-backend, con MySQL levantado: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docker compose --env-file .env.docker exec -T mysql sh -c 'mysql -u root -p"$MYSQL_ROOT_PASSWORD" --default-character-set=utf8mb4 pmt_multas' &lt; database/seeds/002_qa_test_data.sql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4968"/>
        <w:gridCol w:w="367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Flujo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Valor para copiar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Consultar multa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QA-BOLETA-0001 · Placa QA-001Q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VALIDADA, saldo GTQ 150.00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Orden de pago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Referencia 2222222222222222222222222222222222222222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QA-OP-0001, vigente 7 días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Verificar solvencia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Referencia 3333333333333333333333333333333333333333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QA-SOL-0001, estado VALID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Revisión municipal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Boleta QA-BOLETA-0002 · Placa QA-002Q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PENDIENTE_VALIDACION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 pendiente</w:t>
            </w:r>
          </w:p>
        </w:tc>
        <w:tc>
          <w:tcPr>
            <w:tcW w:type="dxa" w:w="49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Solicitud QA-SREQ-0002 · Placa QA-003Q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PENDING_REVIEW para aprobar o rechazar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Contraseña común de QA. </w:t>
      </w:r>
      <w:r>
        <w:rPr>
          <w:rFonts w:ascii="Arial" w:hAnsi="Arial"/>
          <w:color w:val="262B25"/>
          <w:sz w:val="21"/>
        </w:rPr>
        <w:t>PmtQA2026! (solo para estas cuentas locales; no la reutilice fuera de QA).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960"/>
        <w:gridCol w:w="2088"/>
        <w:gridCol w:w="4824"/>
      </w:tblGrid>
      <w:tr>
        <w:trPr>
          <w:tblHeader w:val="true"/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Usuario / correo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Uso recomendado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qa.admin / qa.admin@pmt.local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ADMIN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Recorrido completo y configuración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qa.supervisor / qa.supervisor@pmt.local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SUPERVISOR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Validación, reportes y supervisión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qa.pmt / qa.pmt@pmt.local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PMT_OPERATOR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Revisión de boletas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qa.agent / qa.agent@pmt.local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AGENT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Registro de boletas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qa.receptoria / qa.receptoria@pmt.local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RECEPTORIA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y pagos; turno QA abierto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qa.solvencias / qa.solvencias@pmt.local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SOLVENCY_ISSUER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Solicitudes y emisión de solvencias</w:t>
            </w:r>
          </w:p>
        </w:tc>
      </w:tr>
    </w:tbl>
    <w:p>
      <w:pPr>
        <w:spacing w:after="60"/>
      </w:pPr>
    </w:p>
    <w:p>
      <w:pPr>
        <w:spacing w:before="0" w:after="160" w:line="271" w:lineRule="auto"/>
      </w:pPr>
      <w:r>
        <w:rPr>
          <w:rFonts w:ascii="Arial" w:hAnsi="Arial"/>
          <w:color w:val="262B25"/>
          <w:sz w:val="21"/>
        </w:rPr>
        <w:t>Si la semilla se ejecuta nuevamente, actualiza cuentas y catálogos por sus claves únicas, pero no borra usuarios ni registros existentes. Si ya confirmaste QA-OP-0001, esa orden conservará el estado USED; para repetir A07 usa otra base QA o restaura un respaldo antes de volver a probar.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Portal ciudadano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portal público no necesita crear cuenta. La consulta de multas exige el número completo de boleta y la placa; el sistema muestra información limitada del expediente, el saldo y, cuando aplica, una orden para presentar en receptoría.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36208" cy="5348440"/>
            <wp:docPr id="1" name="Picture 1" descr="Figura 1. Inicio del portal ciudadano mostrado en la captura propor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e9eaad7-1033-45de-9911-f9c472c3a7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53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/>
        <w:jc w:val="center"/>
      </w:pPr>
      <w:r>
        <w:rPr>
          <w:rFonts w:ascii="Arial" w:hAnsi="Arial"/>
          <w:color w:val="555B53"/>
          <w:sz w:val="18"/>
        </w:rPr>
        <w:t>Figura 1. Inicio del portal ciudadano mostrado en la captura proporcionada.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Prueba rápida. </w:t>
      </w:r>
      <w:r>
        <w:rPr>
          <w:rFonts w:ascii="Arial" w:hAnsi="Arial"/>
          <w:color w:val="262B25"/>
          <w:sz w:val="21"/>
        </w:rPr>
        <w:t>Desde Inicio, abra Consultar una multa. Confirme que se puede continuar sin iniciar sesión y que la página solicita los dos datos de búsqueda.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 portada separa la consulta de la orden. Una orden vigente indica un monto y vencimiento, pero no confirma que el dinero se haya recibido.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Navegación ciudadana en pantallas estrechas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En una ventana angosta, abra el menú de navegación y recorra los enlaces. Compruebe que el panel se cierra al elegir una opción y que los enlaces principales siguen disponibles.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71800" cy="5719185"/>
            <wp:docPr id="2" name="Picture 2" descr="Figura 2. Menú ciudadano abierto en una vista estrecha, con accesos a consulta, orden y solve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a880649-2198-4a8b-a5a5-4ba3f3edd0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71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60"/>
        <w:jc w:val="center"/>
      </w:pPr>
      <w:r>
        <w:rPr>
          <w:rFonts w:ascii="Arial" w:hAnsi="Arial"/>
          <w:color w:val="555B53"/>
          <w:sz w:val="18"/>
        </w:rPr>
        <w:t>Figura 2. Menú ciudadano abierto en una vista estrecha, con accesos a consulta, orden y solvencia.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menú incluye Inicio, Consultar multa, Orden de pago, Solicitar solvencia, Verificar, Requisitos, Preguntas, Ayuda y Acceso municipal. Use la captura como referencia visual; el contenido exacto puede variar si cambia el ancho de la ventana.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Pruebas ciudadanas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C01  Abrir el portal y navegar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Ninguna cuenta. Abra http://127.0.0.1:5173.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Confirme que aparece la portada del Sistema Municipal de Multas.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Consultar una multa y vuelva a Inicio.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Reduzca el ancho del navegador, abra el menú y entre a Requisitos, Preguntas y Ayuda.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páginas cargan, los enlaces llevan a la sección correcta y el menú móvil se puede abrir y cerrar.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C02  Consultar una boleta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boleta QA-BOLETA-0001 y la placa QA-001Q cargadas por la semilla local.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Consultar una multa.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Introduzca QA-BOLETA-0001 y QA-001Q.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Repita con QA-BOLETA-0001 y una placa distinta; luego intente una búsqueda sin boleta.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En el resultado válido, revise estado VALIDADA, saldo GTQ 150.00, ubicación Avenida de Pruebas 100 y concepto QA-TRAFICO.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coincidencia válida muestra el saldo correcto sin publicar nombre, identificación, agente ni evidencia privada. Una combinación incorrecta recibe un error genérico; una búsqueda solo por placa no se permite.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C03  Generar y abrir una orden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referencia de infracción 1111111111111111111111111111111111111111 o la orden ya cargada 2222222222222222222222222222222222222222.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Desde el resultado QA-BOLETA-0001, elija Generar orden de pago. Si ya existe una orden vigente, el sistema la devuelve de forma idempotente.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Confirme QA-OP-0001, saldo GTQ 150.00 y vencimiento a 7 días.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el PDF y confirme que muestra la advertencia de que no es recibo.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Vuelva a abrir la orden con la referencia 2222222222222222222222222222222222222222; pruebe también una referencia inválida.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orden se puede consultar mientras está vigente, informa su vencimiento y no se presenta como pago confirmado. Este portal no procesa el pago en línea.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C04  Solicitar información y verificar solvencia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la referencia pública QA 3333333333333333333333333333333333333333.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Solicitar solvencia y lea las condiciones del trámite.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Confirme que esa página informa que la gestión requiere validación municipal y no registra una solicitud anónima.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Verificar e introduzca 3333333333333333333333333333333333333333.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estado VALID, fechas y aviso de privacidad; pruebe una referencia de 40 caracteres con un dígito distinto.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verificación válida informa QA-SOL-0001 como documento vigente sin publicar propietario, identificación o placa. Una referencia inválida no debe revelar el expediente.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C05  Consultar requisitos y ayuda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Ninguna cuenta.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Requisitos, Preguntas y Ayuda desde la portada o el menú.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títulos, texto, botones de retorno y presentación en ventana estrecha.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contenido informativo es legible y los enlaces llevan a rutas válidas.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Área municipal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acceso municipal requiere una cuenta activa. Entre desde Acceso municipal o directamente en http://127.0.0.1:5173/#/login. El sistema conserva la sesión en una cookie HttpOnly; no copie contraseñas a capturas ni a archivos de pruebas.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Al iniciar sesión. </w:t>
      </w:r>
      <w:r>
        <w:rPr>
          <w:rFonts w:ascii="Arial" w:hAnsi="Arial"/>
          <w:color w:val="262B25"/>
          <w:sz w:val="21"/>
        </w:rPr>
        <w:t>Compruebe que aparece el perfil correcto y que el menú solo ofrece las funciones autorizadas. La respuesta Sin permiso al abrir una ruta ajena al rol es un control esperado, no una falla del navegador.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color w:val="000000"/>
          <w:sz w:val="25"/>
        </w:rPr>
        <w:t>Roles y alcance orientativo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 aplicación combina rol y permisos específicos. Esta tabla orienta la navegación; las acciones individuales todavía pueden estar restringidas por permiso.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656"/>
        <w:gridCol w:w="856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Áreas principales visibles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ADMIN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Administración completa, dashboard, operaciones, reportes, auditoría y migración histórica.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SUPERVISOR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Dashboard, bandeja, operación, caja, solvencias, recursos, dispositivos, reportes y agentes.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PMT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Bandeja, infracciones, ciudadanos y vehículos, recursos y gestión de dispositivos.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RECEPTORIA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Bandeja, recepción, caja, pagos, recibos y conciliación.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SOLVENCIAS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8"/>
              </w:rPr>
              <w:t>Bandeja y gestión de solicitudes y documentos de solvencia.</w:t>
            </w:r>
          </w:p>
        </w:tc>
      </w:tr>
    </w:tbl>
    <w:p>
      <w:pPr>
        <w:spacing w:after="60"/>
      </w:pP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A01  Probar inicio, perfil y cierre de sesión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qa.admin@pmt.local (o qa.admin) con contraseña PmtQA2026!; las demás cuentas están en la tabla de datos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Inicie sesión desde Acceso municipal.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que aparece Administrador QA, rol ADMIN y las opciones autorizadas.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Cierre sesión y confirme que una ruta protegida solicita volver a autenticarse.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Repita con qa.supervisor o qa.receptoria para comparar el menú por rol.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login válido abre el área protegida; el cierre revoca la sesión y una sesión revocada ya no permite ver datos privados.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A02  Comprobar permisos por rol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No prepare cuentas ni invente contraseñas: la semilla ya deja listas qa.admin, qa.supervisor, qa.pmt, qa.agent, qa.receptoria y qa.solvencias con la contraseña común indicada arriba.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Con qa.admin, abra una sección administrativa autorizada como Usuarios o Roles y permisos.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Cierre sesión, entre con qa.receptoria y confirme que solo aparecen Caja y pagos, Bandeja y Notificaciones.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Pruebe una ruta no autorizada escribiendo directamente su URL; repita con qa.solvencias en Solvencias.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Compruebe tanto el menú visible como el acceso directo a la ruta.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Cada cuenta ve solo su ámbito y el servidor rechaza la ruta no autorizada. No amplíe permisos para hacer pasar la prueba.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Operación diaria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A03  Dashboard, bandeja y notificaciones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qa.admin / PmtQA2026! y el rango 01/09/2026–20/09/2026. La interfaz acepta como máximo 366 días.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Dashboard y cambie Desde a 01/09/2026 y Hasta a 20/09/2026; confirme que la alerta desaparece y los indicadores se actualizan.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Pruebe temporalmente Desde posterior a Hasta y luego un rango mayor a 366 días; la alerta debe aparecer junto a los campos y no debe disparar una consulta.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Revise indicadores agregados y seleccione un elemento de la Bandeja de trabajo.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Abra Notificaciones, pulse Marcar como leída en una tarjeta nueva y compruebe que cambia a Leída, baja el contador y conserva el estado al recargar.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Los conteos respetan filtros y permisos; los rangos inválidos se explican sin romper el tablero; la lectura de una notificación queda visible y persistente.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A04  Ciudadanos y vehículos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en QA: reserve una identificación y placa sintéticas únicas, identificadas como pruebas.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Busque un registro por un dato que conozca.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Cree un ciudadano y vehículo QA siguiendo los campos obligatorios.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Actualice un dato no sensible y revise el historial de propiedad asociado.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Intente repetir una identificación o placa normalizada para comprobar la validación.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búsqueda y actualización afectan solo al registro QA, las duplicidades se bloquean y los cambios de propietario dejan historial. La gestión funcional de licencias está pendiente; el esquema está preparado.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A05  Crear y tramitar una infracción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en QA; el agente, dispositivo, catálogo legal y correlativo deben estar configurados por el responsable.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Infracciones y cree un borrador con un agente/dispositivo de prueba.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conceptos vigentes del catálogo institucional de QA y adjunte evidencia sintética.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Guarde el borrador y revise el detalle y la línea de tiempo.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Envíe el caso a validación; use una cuenta autorizada para aprobar, devolver o rechazarlo.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Los cambios de estado respetan el flujo y permisos, la evidencia queda privada y cada transición autorizada aparece en el historial. No invente artículos ni montos para probar.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A06  Revisar impugnaciones y ajustes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Requiere una infracción QA vinculada y un usuario con permisos del flujo.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Recursos/Impugnaciones y seleccione el expediente de QA.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Registre la acción disponible para el estado actual y documente el motivo cuando se solicite.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Revise la resolución, el historial y los importes después del ajuste.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decisión queda auditada y el ajuste se refleja como operación compensatoria o versionada, no como edición silenciosa del historial.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Caja, pagos y solvencias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A07  Probar caja, pago, recibo y conciliación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Inicie con qa.receptoria / PmtQA2026!. La semilla deja abierta Caja QA 1 con GTQ 500.00 y la orden QA-OP-0001 con saldo GTQ 150.00.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Caja y pagos y confirme el turno QA abierto.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Seleccione QA-OP-0001 y aplique el monto exacto GTQ 150.00.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Confirme el pago y compruebe que el recibo aparece después de la confirmación.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Pruebe reverso únicamente con autorización y motivo; verifique que se agrega una contrapartida y no se borra el pago original.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5. </w:t>
      </w:r>
      <w:r>
        <w:rPr>
          <w:rFonts w:ascii="Arial" w:hAnsi="Arial"/>
          <w:color w:val="262B25"/>
          <w:sz w:val="21"/>
        </w:rPr>
        <w:t>Abra Conciliación y contraste los movimientos con el medio QA_CASH.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turno, pago, recibo, reverso y conciliación mantienen trazabilidad. No hay integración de cobro electrónico ciudadano en esta versión; no registre dinero real.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A08  Revisar emisión y revocación de solvencia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Use qa.solvencias / PmtQA2026!; QA-SREQ-0002 está pendiente para revisión y QA-SOL-0001 ya está vigente.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Solvencias y revise QA-SREQ-0002 (placa QA-003Q).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Compruebe el bloqueo al intentar solicitar para QA-001Q, que mantiene saldo pendiente por su boleta.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Con QA-SREQ-0002, apruebe/emita usando una cuenta autorizada y abra el PDF.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Verifique 3333333333333333333333333333333333333333 en el portal público y, en la cuenta QA, pruebe revocación con motivo.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 elegibilidad se vuelve a calcular al emitir, el documento es único, la verificación pública no revela PII y una revocación conserva el expediente y su auditoría.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Reportes y administración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Para los casos municipales, guarde evidencia propia con un folio de QA visible y sin PII. La matriz final permite registrar el nombre del archivo o la ruta de la captura para cada caso.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A09  Filtrar y exportar reportes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Cuenta ADMIN o SUPERVISOR y datos de QA dentro del rango consultado.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Reportes, elija un informe y defina rango/filtros disponibles.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Recorra páginas y contraste conteos con la pantalla.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Exporte CSV y el resumen PDF; compruebe nombres de columnas, totales y codificación del texto.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Si tiene permiso ADMIN, revise la sección de auditoría para una acción de QA.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exportaciones reflejan el filtro y la paginación, conservan totales verificables y las acciones quedan auditadas según su permiso.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A10  Administrar usuarios, agentes, dispositivos y catálogos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QA; cambios de roles, tarifas y correlativos requieren aprobación institucional.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Desde Usuarios, cree una cuenta QA no personal, asígnele solo el rol necesario y pruebe el acceso con esa cuenta.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Desde Agentes y Dispositivos, revise alta, estado y asignación de prueba.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Abra Roles y permisos y compruebe que el permiso se refleja en la navegación y en la API.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Catálogos y Configuración sin sustituir tarifas, reglas legales ni correlativos institucionales.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Las altas y asignaciones se pueden consultar, las rutas bloqueadas siguen protegidas y ninguna prueba cambia parámetros institucionales sin autorización. La sincronización móvil/offline no está implementada.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Migración histórica</w:t>
      </w:r>
    </w:p>
    <w:p>
      <w:pPr>
        <w:pStyle w:val="Heading3"/>
        <w:keepNext/>
        <w:spacing w:before="160" w:after="100"/>
      </w:pPr>
      <w:r>
        <w:rPr>
          <w:rFonts w:ascii="Arial" w:hAnsi="Arial"/>
          <w:b/>
          <w:color w:val="000000"/>
          <w:sz w:val="22"/>
        </w:rPr>
        <w:t>A11  Validar un CSV histórico con dry-run</w:t>
      </w:r>
    </w:p>
    <w:p>
      <w:pPr>
        <w:keepNext/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Antes de comenzar. </w:t>
      </w:r>
      <w:r>
        <w:rPr>
          <w:rFonts w:ascii="Arial" w:hAnsi="Arial"/>
          <w:color w:val="262B25"/>
          <w:sz w:val="21"/>
        </w:rPr>
        <w:t>Solo en una base QA separada, con TANDA 11 y datos completamente sintéticos. No cargue archivos Access MDB/ACCDB.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1. </w:t>
      </w:r>
      <w:r>
        <w:rPr>
          <w:rFonts w:ascii="Arial" w:hAnsi="Arial"/>
          <w:color w:val="262B25"/>
          <w:sz w:val="21"/>
        </w:rPr>
        <w:t>Abra Migraciones históricas y descargue la plantilla CSV correspondiente.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2. </w:t>
      </w:r>
      <w:r>
        <w:rPr>
          <w:rFonts w:ascii="Arial" w:hAnsi="Arial"/>
          <w:color w:val="262B25"/>
          <w:sz w:val="21"/>
        </w:rPr>
        <w:t>Prepare una copia de prueba con una o dos filas ficticias y revise los encabezados.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3. </w:t>
      </w:r>
      <w:r>
        <w:rPr>
          <w:rFonts w:ascii="Arial" w:hAnsi="Arial"/>
          <w:color w:val="262B25"/>
          <w:sz w:val="21"/>
        </w:rPr>
        <w:t>Ejecute el dry-run desde multas-backend con el archivo sintético.</w:t>
      </w:r>
    </w:p>
    <w:p>
      <w:pPr>
        <w:keepNext/>
        <w:spacing w:after="60" w:line="264" w:lineRule="auto"/>
        <w:ind w:left="403" w:hanging="317"/>
      </w:pPr>
      <w:r>
        <w:rPr>
          <w:rFonts w:ascii="Arial" w:hAnsi="Arial"/>
          <w:b/>
          <w:color w:val="262B25"/>
          <w:sz w:val="21"/>
        </w:rPr>
        <w:t xml:space="preserve">4. </w:t>
      </w:r>
      <w:r>
        <w:rPr>
          <w:rFonts w:ascii="Arial" w:hAnsi="Arial"/>
          <w:color w:val="262B25"/>
          <w:sz w:val="21"/>
        </w:rPr>
        <w:t>Revise el lote, errores, conflictos y mapeos en el panel; no confirme commit en una base compartida.</w:t>
      </w:r>
    </w:p>
    <w:p>
      <w:pPr>
        <w:keepLines/>
        <w:spacing w:after="160" w:line="269" w:lineRule="auto"/>
      </w:pPr>
      <w:r>
        <w:rPr>
          <w:rFonts w:ascii="Arial" w:hAnsi="Arial"/>
          <w:b/>
          <w:color w:val="262B25"/>
          <w:sz w:val="21"/>
        </w:rPr>
        <w:t xml:space="preserve">Resultado esperado. </w:t>
      </w:r>
      <w:r>
        <w:rPr>
          <w:rFonts w:ascii="Arial" w:hAnsi="Arial"/>
          <w:color w:val="262B25"/>
          <w:sz w:val="21"/>
        </w:rPr>
        <w:t>El dry-run crea control/staging y reporta validación sin escribir entidades operativas. Commit y reversión se prueban solo en QA aislada, con respaldo y aprobación.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 xml:space="preserve">Ejemplo de dry-run. </w:t>
      </w:r>
      <w:r>
        <w:rPr>
          <w:rFonts w:ascii="Arial" w:hAnsi="Arial"/>
          <w:color w:val="262B25"/>
          <w:sz w:val="21"/>
        </w:rPr>
        <w:t>Ajuste la ruta al archivo CSV sintético que preparó: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cd multas-backend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migration:historical:dry-run -- --path=database/templates/historical/citizens.csv --entity=citizens --source=QA_LOCAL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commit y la reversión exigen confirmación explícita con la referencia del lote. No use esos comandos para importar información real durante una prueba exploratoria.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Pruebas automatizadas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Las pruebas unitarias verifican reglas sin depender del navegador. Las pruebas de integración de backend necesitan MySQL y el esquema completo; usan datos QA y limpian sus fixtures al terminar, pero deben ejecutarse solamente contra una base local de pruebas.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>Desde la raíz del repositorio:</w:t>
      </w:r>
      <w:r>
        <w:rPr>
          <w:rFonts w:ascii="Arial" w:hAnsi="Arial"/>
          <w:color w:val="262B25"/>
          <w:sz w:val="21"/>
        </w:rPr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lint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test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build</w:t>
      </w:r>
    </w:p>
    <w:p>
      <w:pPr>
        <w:spacing w:after="100" w:line="269" w:lineRule="auto"/>
      </w:pPr>
      <w:r>
        <w:rPr>
          <w:rFonts w:ascii="Arial" w:hAnsi="Arial"/>
          <w:b/>
          <w:color w:val="262B25"/>
          <w:sz w:val="21"/>
        </w:rPr>
        <w:t>Desde multas-backend:</w:t>
      </w:r>
      <w:r>
        <w:rPr>
          <w:rFonts w:ascii="Arial" w:hAnsi="Arial"/>
          <w:color w:val="262B25"/>
          <w:sz w:val="21"/>
        </w:rPr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lint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test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test:integration</w:t>
      </w:r>
    </w:p>
    <w:p>
      <w:pPr>
        <w:spacing w:before="40" w:after="80"/>
        <w:ind w:left="259"/>
      </w:pPr>
      <w:r>
        <w:rPr>
          <w:rFonts w:ascii="Menlo" w:hAnsi="Menlo"/>
          <w:color w:val="1D2B1D"/>
          <w:sz w:val="18"/>
        </w:rPr>
        <w:t>npm run build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Una salida correcta de pruebas no sustituye la aceptación del personal municipal ni autoriza pruebas con registros institucionales reales.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Registro de ejecución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Para cada caso marque el resultado, escriba la fecha y conserve evidencia sintética. No incluya contraseñas, números de identificación ni datos de ciudadanos.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92"/>
        <w:gridCol w:w="2520"/>
        <w:gridCol w:w="2232"/>
        <w:gridCol w:w="468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40572E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 o nota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Portal y navegación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C02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Consulta segura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C03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Orden de pago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C04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 pública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C05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Ayuda y requisitos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Autenticación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A02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Permisos por rol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A03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Dashboard y notificaciones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A04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Ciudadanos y vehículos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A05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Infracciones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A06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Impugnaciones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A07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Caja y pagos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A08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Solvencias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A09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Reportes y auditoría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A10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Administración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A11</w:t>
            </w:r>
          </w:p>
        </w:tc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CSV histórico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☐ Pasa  ☐ Falla  ☐ N/A</w:t>
            </w:r>
          </w:p>
        </w:tc>
        <w:tc>
          <w:tcPr>
            <w:tcW w:type="dxa" w:w="46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FF3EB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color w:val="262B25"/>
                <w:sz w:val="17"/>
              </w:rPr>
              <w:t>Fecha / nota / evidencia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Qué está implementado y qué no se debe esperar</w:t>
      </w:r>
    </w:p>
    <w:p>
      <w:pPr>
        <w:spacing w:before="0" w:after="100" w:line="271" w:lineRule="auto"/>
      </w:pPr>
      <w:r>
        <w:rPr>
          <w:rFonts w:ascii="Arial" w:hAnsi="Arial"/>
          <w:color w:val="262B25"/>
          <w:sz w:val="21"/>
        </w:rPr>
        <w:t>El estado del repositorio registra como terminadas las TANDAS 0–8 y 10–11, con pruebas de módulo. TANDA 9 está pospuesta: no hay aplicación móvil, trabajo offline ni sincronización. Las licencias tienen esquema de datos preparado, pero su gestión funcional está pendiente.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El portal puede generar una orden de pago, pero no recibe el dinero ni reemplaza el recibo de caja.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 página pública de solicitud de solvencia informa el trámite; la solicitud formal se registra en el área municipal después de validar identidad y titularidad.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Las notificaciones disponibles son internas. No espere envío real de correo o SMS.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La importación histórica admite CSV controlado; no cargue bases MDB/ACCDB ni información municipal real sin procedimiento, respaldo y aprobación.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color w:val="000000"/>
          <w:sz w:val="32"/>
        </w:rPr>
        <w:t>Si una prueba no funciona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Página no disponible: confirme que el frontend corre en 5173 y que el backend está escuchando en 3000.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Readiness distinta de 200: detenga las pruebas que escriben datos y revise la conexión local a MySQL.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Credenciales rechazadas: confirme que usa la cuenta activa correcta. No repita muchos intentos; el acceso aplica bloqueo temporal por intentos fallidos.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Sin permiso: verifique el rol y permiso del usuario de prueba; no cambie el rol para ocultar el resultado.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No aparece una multa/orden/solvencia: use un expediente de QA vigente y los datos exactos asociados. La combinación incompleta o inválida no debe revelar información personal.</w:t>
      </w:r>
    </w:p>
    <w:p>
      <w:pPr>
        <w:pStyle w:val="ListBullet"/>
        <w:spacing w:after="20" w:line="240" w:lineRule="auto"/>
      </w:pPr>
      <w:r>
        <w:rPr>
          <w:rFonts w:ascii="Arial" w:hAnsi="Arial"/>
          <w:color w:val="262B25"/>
          <w:sz w:val="19"/>
        </w:rPr>
        <w:t>Registre el identificador de solicitud mostrado por la API o en la respuesta de error, sin incluir credenciales o datos personales.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Sistema Municipal de Multas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262B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555B5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y pruebas del Sistema Municipal de Multas</dc:title>
  <dc:subject>Portal ciudadano y área administrativa</dc:subject>
  <dc:creator/>
  <cp:keywords>PMT, guía, usuario, administración, pruebas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