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Interview Question Set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Senior BI &amp; Analytics Consultant</w:t>
      </w:r>
    </w:p>
    <w:p>
      <w:pPr>
        <w:spacing w:after="60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Acme Consulting — Senior Consultant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Candidate: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Jane Doe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15,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Interviewer: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John Smith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Questions: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(intro + D1/D2/D3 mix)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Est. Duration: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45–60 minutes</w:t>
            </w:r>
          </w:p>
        </w:tc>
      </w:tr>
    </w:tbl>
    <w:p>
      <w:pPr>
        <w:spacing w:before="600"/>
      </w:pPr>
    </w:p>
    <w:p>
      <w:pPr>
        <w:spacing w:after="80"/>
        <w:jc w:val="center"/>
      </w:pPr>
      <w:r>
        <w:rPr>
          <w:rFonts w:ascii="Arial" w:cs="Arial" w:eastAsia="Arial" w:hAnsi="Arial"/>
          <w:sz w:val="20"/>
          <w:szCs w:val="20"/>
        </w:rPr>
        <w:t xml:space="preserve">Difficulty Distribution: 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2 Intro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  •  </w:t>
      </w:r>
      <w:r>
        <w:rPr>
          <w:rFonts w:ascii="Arial" w:cs="Arial" w:eastAsia="Arial" w:hAnsi="Arial"/>
          <w:b/>
          <w:bCs/>
          <w:color w:val="70AD47"/>
          <w:sz w:val="20"/>
          <w:szCs w:val="20"/>
        </w:rPr>
        <w:t xml:space="preserve">2 Foundational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  •  </w:t>
      </w:r>
      <w:r>
        <w:rPr>
          <w:rFonts w:ascii="Arial" w:cs="Arial" w:eastAsia="Arial" w:hAnsi="Arial"/>
          <w:b/>
          <w:bCs/>
          <w:color w:val="ED7D31"/>
          <w:sz w:val="20"/>
          <w:szCs w:val="20"/>
        </w:rPr>
        <w:t xml:space="preserve">5 Applied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  • 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1 Architectural</w:t>
      </w:r>
    </w:p>
    <w:p>
      <w:r>
        <w:br w:type="page"/>
      </w:r>
    </w:p>
    <w:p>
      <w:pPr>
        <w:shd w:fill="1F3864" w:val="clear"/>
        <w:spacing w:after="80" w:before="200"/>
        <w:ind w:left="-120" w:right="-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INTRODUCTION (5 MIN)</w:t>
      </w:r>
    </w:p>
    <w:p>
      <w:pPr>
        <w:spacing w:after="20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Let the candidate settle in. Listen for narrative clarity, career arc, and what they emphasize.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000"/>
        <w:gridCol w:w="1560"/>
        <w:gridCol w:w="1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INTRO-001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Introduction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0 - Intro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scenario</w:t>
            </w:r>
          </w:p>
        </w:tc>
      </w:tr>
    </w:tbl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sz w:val="22"/>
          <w:szCs w:val="22"/>
        </w:rPr>
        <w:t xml:space="preserve">Tell me about yourself — walk me through your background and what brings you here today. (5 minutes)</w:t>
      </w:r>
    </w:p>
    <w:p>
      <w:pPr>
        <w:shd w:fill="D6E4F0" w:val="clear"/>
        <w:spacing w:after="4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  Ideal Answer Components: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Clear, concise narrative arc connecting past roles to this opportunity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Highlights relevant experience without reading a resume back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Mentions both technical depth and client-facing or consulting work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Signals progression: growing scope, ownership, or complexity over time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Listen for: does their story land in under 5 minutes? Do they self-edit well?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Rating: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 (Weak)  2 (Below)  3 (Meets)  4 (Strong)  5 (Exceptional)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6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000"/>
        <w:gridCol w:w="1560"/>
        <w:gridCol w:w="1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INTRO-002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Motivation &amp; Fit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0 - Intro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scenario</w:t>
            </w:r>
          </w:p>
        </w:tc>
      </w:tr>
    </w:tbl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sz w:val="22"/>
          <w:szCs w:val="22"/>
        </w:rPr>
        <w:t xml:space="preserve">Why this company, and why this role specifically?</w:t>
      </w:r>
    </w:p>
    <w:p>
      <w:pPr>
        <w:shd w:fill="D6E4F0" w:val="clear"/>
        <w:spacing w:after="4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  Ideal Answer Components: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Shows they researched the company: what it does, culture, positioning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Articulates why the role appeals vs. other opportunities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Connects their skills to the role's specific requirements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Genuine enthusiasm or thoughtful reasoning — not generic answers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Bonus: mentions company values, team culture, or specific projects they found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Rating: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 (Weak)  2 (Below)  3 (Meets)  4 (Strong)  5 (Exceptional)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6" w:space="1"/>
        </w:pBdr>
        <w:spacing w:after="200"/>
      </w:pPr>
    </w:p>
    <w:p>
      <w:pPr>
        <w:shd w:fill="1F3864" w:val="clear"/>
        <w:spacing w:after="80" w:before="200"/>
        <w:ind w:left="-120" w:right="-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WARM-UP &amp; ROLE FIT</w:t>
      </w:r>
    </w:p>
    <w:p>
      <w:pPr>
        <w:spacing w:after="20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Start conversational. Assess motivation, consulting experience, and communication style.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000"/>
        <w:gridCol w:w="1560"/>
        <w:gridCol w:w="1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DA-GEN-003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 Requirements Translation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PBI, QLK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2 - Applied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scenario</w:t>
            </w:r>
          </w:p>
        </w:tc>
      </w:tr>
    </w:tbl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sz w:val="22"/>
          <w:szCs w:val="22"/>
        </w:rPr>
        <w:t xml:space="preserve">Two business units define a key metric differently. Both insist theirs is the standard. How do you resolve this?</w:t>
      </w:r>
    </w:p>
    <w:p>
      <w:pPr>
        <w:shd w:fill="D6E4F0" w:val="clear"/>
        <w:spacing w:after="4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  Ideal Answer Components: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Interview each stakeholder to uncover the business decision their definition supports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Propose both as named, documented metrics rather than forcing premature convergence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Facilitate joint session anchored to company-level strategic goals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Implement via governed metric definitions with documentation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Use prioritization framework to determine the executive dashboard default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Rating: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 (Weak)  2 (Below)  3 (Meets)  4 (Strong)  5 (Exceptional)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6" w:space="1"/>
        </w:pBdr>
        <w:spacing w:after="200"/>
      </w:pPr>
    </w:p>
    <w:p>
      <w:pPr>
        <w:shd w:fill="1F3864" w:val="clear"/>
        <w:spacing w:after="80" w:before="200"/>
        <w:ind w:left="-120" w:right="-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CORE TECHNICAL SKILLS</w:t>
      </w:r>
    </w:p>
    <w:p>
      <w:pPr>
        <w:spacing w:after="20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Primary assessment area. Test depth in the role's key technologies.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000"/>
        <w:gridCol w:w="1560"/>
        <w:gridCol w:w="1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DV-PBI-001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 Optimization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PBI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8"/>
                <w:szCs w:val="18"/>
              </w:rPr>
              <w:t xml:space="preserve">1 - Foundational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definition</w:t>
            </w:r>
          </w:p>
        </w:tc>
      </w:tr>
    </w:tbl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sz w:val="22"/>
          <w:szCs w:val="22"/>
        </w:rPr>
        <w:t xml:space="preserve">What is the difference between a DAX calculated column and a measure? When should you use each?</w:t>
      </w:r>
    </w:p>
    <w:p>
      <w:pPr>
        <w:shd w:fill="D6E4F0" w:val="clear"/>
        <w:spacing w:after="4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  Ideal Answer Components: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Calculated columns evaluate row-by-row at refresh, stored in the engine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Measures evaluate dynamically at query time within filter context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Use columns for slicing, sorting, grouping; measures for aggregations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Prefer measures by default; push static transforms to the ETL layer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Avoid calculated columns on large fact tables — impacts compression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Rating: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 (Weak)  2 (Below)  3 (Meets)  4 (Strong)  5 (Exceptional)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6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000"/>
        <w:gridCol w:w="1560"/>
        <w:gridCol w:w="1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DV-GEN-002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 Optimization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QLK, PBI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2 - Applied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scenario</w:t>
            </w:r>
          </w:p>
        </w:tc>
      </w:tr>
    </w:tbl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sz w:val="22"/>
          <w:szCs w:val="22"/>
        </w:rPr>
        <w:t xml:space="preserve">A dashboard takes 30+ seconds to load. Walk me through your diagnostic and optimization approach.</w:t>
      </w:r>
    </w:p>
    <w:p>
      <w:pPr>
        <w:shd w:fill="D6E4F0" w:val="clear"/>
        <w:spacing w:after="4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  Ideal Answer Components: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Use built-in performance profiling tools to identify slow visuals and queries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Check data model for anti-patterns: missing star schema, synthetic keys, unused columns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Enforce star schema, reduce visuals to 8-10 per page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Optimize query patterns: use variables, verify query folding, consider composite models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Add caching or incremental refresh where appropriate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Rating: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 (Weak)  2 (Below)  3 (Meets)  4 (Strong)  5 (Exceptional)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6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000"/>
        <w:gridCol w:w="1560"/>
        <w:gridCol w:w="1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DV-PBI-002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Governance &amp; Standards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PBI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2 - Applied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scenario</w:t>
            </w:r>
          </w:p>
        </w:tc>
      </w:tr>
    </w:tbl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sz w:val="22"/>
          <w:szCs w:val="22"/>
        </w:rPr>
        <w:t xml:space="preserve">A client has 500 users across 12 offices needing different data access levels. How would you design row-level security?</w:t>
      </w:r>
    </w:p>
    <w:p>
      <w:pPr>
        <w:shd w:fill="D6E4F0" w:val="clear"/>
        <w:spacing w:after="4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  Ideal Answer Components: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Dynamic RLS with security mapping table joined to model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Single role handles office, regional, and executive access via mapping rows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Assign membership via security groups, not individual users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Test edge cases: multi-role users, missing users, cross-filter propagation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Embedded scenarios require identity tokens in API calls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Rating: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 (Weak)  2 (Below)  3 (Meets)  4 (Strong)  5 (Exceptional)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6" w:space="1"/>
        </w:pBdr>
        <w:spacing w:after="200"/>
      </w:pPr>
    </w:p>
    <w:p>
      <w:pPr>
        <w:shd w:fill="1F3864" w:val="clear"/>
        <w:spacing w:after="80" w:before="200"/>
        <w:ind w:left="-120" w:right="-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ARCHITECTURE &amp; DESIGN</w:t>
      </w:r>
    </w:p>
    <w:p>
      <w:pPr>
        <w:spacing w:after="20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Tests system thinking, migration planning, and platform knowledge.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000"/>
        <w:gridCol w:w="1560"/>
        <w:gridCol w:w="1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DW-DBR-001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Warehouse Architecture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DBR, FAB, SNO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2 - Applied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explanation</w:t>
            </w:r>
          </w:p>
        </w:tc>
      </w:tr>
    </w:tbl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sz w:val="22"/>
          <w:szCs w:val="22"/>
        </w:rPr>
        <w:t xml:space="preserve">Describe the medallion architecture pattern. How do bronze, silver, and gold layers relate to BI consumption?</w:t>
      </w:r>
    </w:p>
    <w:p>
      <w:pPr>
        <w:shd w:fill="D6E4F0" w:val="clear"/>
        <w:spacing w:after="4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  Ideal Answer Components: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Bronze: raw landing zone, data ingested as-is for full auditability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Silver: cleansed, deduplicated, conformed data with quality rules applied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Gold: business-ready star schemas optimized for dashboards with pre-computed KPIs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BI tools connect exclusively to gold via SQL endpoints or direct access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Pattern is native to lakehouse platforms; implementable in any warehouse via schemas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Rating: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 (Weak)  2 (Below)  3 (Meets)  4 (Strong)  5 (Exceptional)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6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000"/>
        <w:gridCol w:w="1560"/>
        <w:gridCol w:w="1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DW-GEN-001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 Design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8"/>
                <w:szCs w:val="18"/>
              </w:rPr>
              <w:t xml:space="preserve">1 - Foundational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definition</w:t>
            </w:r>
          </w:p>
        </w:tc>
      </w:tr>
    </w:tbl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sz w:val="22"/>
          <w:szCs w:val="22"/>
        </w:rPr>
        <w:t xml:space="preserve">What is the difference between a star schema and a snowflake schema, and which is generally preferred for BI tools?</w:t>
      </w:r>
    </w:p>
    <w:p>
      <w:pPr>
        <w:shd w:fill="D6E4F0" w:val="clear"/>
        <w:spacing w:after="4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  Ideal Answer Components: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Star denormalizes dimensions into flat tables; snowflake normalizes into sub-tables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Star requires fewer joins, yielding faster BI queries and simpler expressions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Most BI engines are explicitly optimized for star schemas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Snowflake schema reduces storage but increases join complexity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Default to star for BI; snowflake only for very large, frequently updated dimensions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Rating: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 (Weak)  2 (Below)  3 (Meets)  4 (Strong)  5 (Exceptional)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6" w:space="1"/>
        </w:pBdr>
        <w:spacing w:after="200"/>
      </w:pPr>
    </w:p>
    <w:p>
      <w:pPr>
        <w:shd w:fill="1F3864" w:val="clear"/>
        <w:spacing w:after="80" w:before="200"/>
        <w:ind w:left="-120" w:right="-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COMMUNICATION &amp; CLIENT MANAGEMENT</w:t>
      </w:r>
    </w:p>
    <w:p>
      <w:pPr>
        <w:spacing w:after="20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Consulting and communication skills. Critical for senior-level roles.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000"/>
        <w:gridCol w:w="1560"/>
        <w:gridCol w:w="1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DV-GEN-003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Storytelling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2 - Applied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scenario</w:t>
            </w:r>
          </w:p>
        </w:tc>
      </w:tr>
    </w:tbl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sz w:val="22"/>
          <w:szCs w:val="22"/>
        </w:rPr>
        <w:t xml:space="preserve">A CFO says dashboards are 'full of charts but tell me nothing.' How would you redesign them using data storytelling principles?</w:t>
      </w:r>
    </w:p>
    <w:p>
      <w:pPr>
        <w:shd w:fill="D6E4F0" w:val="clear"/>
        <w:spacing w:after="4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  Ideal Answer Components: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Identify CFO's top 3-5 decision questions; design every visual to answer one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Add contextual KPIs: vs. target, vs. prior period, directional indicators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Apply 5-second rule: main insight must be immediately graspable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Progressive disclosure: executive summary page, drill-through for detail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Reduce clutter: color only for exceptions, remove chart junk, use white space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Rating: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 (Weak)  2 (Below)  3 (Meets)  4 (Strong)  5 (Exceptional)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6" w:space="1"/>
        </w:pBdr>
        <w:spacing w:after="200"/>
      </w:pPr>
    </w:p>
    <w:p>
      <w:pPr>
        <w:shd w:fill="1F3864" w:val="clear"/>
        <w:spacing w:after="80" w:before="200"/>
        <w:ind w:left="-120" w:right="-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CLOSING — DEPTH CHECK</w:t>
      </w:r>
    </w:p>
    <w:p>
      <w:pPr>
        <w:spacing w:after="20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One final technical deep-dive to confirm seniority level.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000"/>
        <w:gridCol w:w="1560"/>
        <w:gridCol w:w="1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DV-GEN-004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Governance &amp; Standards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QLK, PBI, TAB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3 - Architectural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scenario</w:t>
            </w:r>
          </w:p>
        </w:tc>
      </w:tr>
    </w:tbl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sz w:val="22"/>
          <w:szCs w:val="22"/>
        </w:rPr>
        <w:t xml:space="preserve">An enterprise runs multiple BI platforms with no governance. Design a cross-platform governance framework covering content lifecycle, metric consistency, and platform rationalization.</w:t>
      </w:r>
    </w:p>
    <w:p>
      <w:pPr>
        <w:shd w:fill="D6E4F0" w:val="clear"/>
        <w:spacing w:after="4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  Ideal Answer Components: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Establish BI CoE with Data Owners, Stewards, Platform Leads, and Developers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Unified semantic layer: certified datasets, master items, shared glossary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ALM per platform: deployment pipelines with version control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Platform rationalization: usage audit, define purpose boundaries, sunset plan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Formal certification process gates production; quarterly governance reviews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Rating: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 (Weak)  2 (Below)  3 (Meets)  4 (Strong)  5 (Exceptional)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6" w:space="1"/>
        </w:pBdr>
        <w:spacing w:after="200"/>
      </w:pPr>
    </w:p>
    <w:p>
      <w:r>
        <w:br w:type="page"/>
      </w:r>
    </w:p>
    <w:p>
      <w:pPr>
        <w:shd w:fill="1F3864" w:val="clear"/>
        <w:spacing w:after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OVERALL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2000"/>
        <w:gridCol w:w="1600"/>
      </w:tblGrid>
      <w:tr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Technical Depth</w:t>
            </w:r>
          </w:p>
        </w:tc>
        <w:tc>
          <w:tcPr>
            <w:tcW w:type="dxa" w:w="2000"/>
            <w:tcBorders>
              <w:top w:val="single" w:color="999999" w:sz="1"/>
              <w:left w:val="none" w:sz="0"/>
              <w:bottom w:val="single" w:color="999999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1–5: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600" w:hRule="atLeast"/>
        </w:trP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2000"/>
        <w:gridCol w:w="1600"/>
      </w:tblGrid>
      <w:tr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 Modeling &amp; Architecture Understanding</w:t>
            </w:r>
          </w:p>
        </w:tc>
        <w:tc>
          <w:tcPr>
            <w:tcW w:type="dxa" w:w="2000"/>
            <w:tcBorders>
              <w:top w:val="single" w:color="999999" w:sz="1"/>
              <w:left w:val="none" w:sz="0"/>
              <w:bottom w:val="single" w:color="999999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1–5: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600" w:hRule="atLeast"/>
        </w:trP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2000"/>
        <w:gridCol w:w="1600"/>
      </w:tblGrid>
      <w:tr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Platform &amp; Tooling Experience</w:t>
            </w:r>
          </w:p>
        </w:tc>
        <w:tc>
          <w:tcPr>
            <w:tcW w:type="dxa" w:w="2000"/>
            <w:tcBorders>
              <w:top w:val="single" w:color="999999" w:sz="1"/>
              <w:left w:val="none" w:sz="0"/>
              <w:bottom w:val="single" w:color="999999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1–5: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600" w:hRule="atLeast"/>
        </w:trP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2000"/>
        <w:gridCol w:w="1600"/>
      </w:tblGrid>
      <w:tr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Client Communication &amp; Storytelling</w:t>
            </w:r>
          </w:p>
        </w:tc>
        <w:tc>
          <w:tcPr>
            <w:tcW w:type="dxa" w:w="2000"/>
            <w:tcBorders>
              <w:top w:val="single" w:color="999999" w:sz="1"/>
              <w:left w:val="none" w:sz="0"/>
              <w:bottom w:val="single" w:color="999999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1–5: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600" w:hRule="atLeast"/>
        </w:trP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2000"/>
        <w:gridCol w:w="1600"/>
      </w:tblGrid>
      <w:tr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Problem-Solving &amp; Consulting Judgment</w:t>
            </w:r>
          </w:p>
        </w:tc>
        <w:tc>
          <w:tcPr>
            <w:tcW w:type="dxa" w:w="2000"/>
            <w:tcBorders>
              <w:top w:val="single" w:color="999999" w:sz="1"/>
              <w:left w:val="none" w:sz="0"/>
              <w:bottom w:val="single" w:color="999999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1–5: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600" w:hRule="atLeast"/>
        </w:trP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2000"/>
        <w:gridCol w:w="1600"/>
      </w:tblGrid>
      <w:tr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Pre-Sales / POC Capability</w:t>
            </w:r>
          </w:p>
        </w:tc>
        <w:tc>
          <w:tcPr>
            <w:tcW w:type="dxa" w:w="2000"/>
            <w:tcBorders>
              <w:top w:val="single" w:color="999999" w:sz="1"/>
              <w:left w:val="none" w:sz="0"/>
              <w:bottom w:val="single" w:color="999999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1–5: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600" w:hRule="atLeast"/>
        </w:trP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Overall Recommendation: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Hire  /  Hire  /  Maybe  /  No Hire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Summary 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400" w:hRule="atLeast"/>
        </w:trP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hd w:fill="1F3864" w:val="clear"/>
        <w:spacing w:after="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ATS EVALUATION — Technical Interview | General Template</w:t>
      </w:r>
    </w:p>
    <w:p>
      <w:pPr>
        <w:spacing w:after="20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Complete this section after the interview and transfer responses to your ATS.</w:t>
      </w:r>
    </w:p>
    <w:p>
      <w:pPr>
        <w:shd w:fill="D6E4F0" w:val="clear"/>
        <w:spacing w:after="60" w:before="2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  Tech Skills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What are the main technical strengths you observed in the candidate during the interview?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Rating (1–5):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 (Weak)  2 (Below)  3 (Meets)  4 (Strong)  5 (Exceptional)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000" w:hRule="atLeast"/>
        </w:trP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hd w:fill="D6E4F0" w:val="clear"/>
        <w:spacing w:after="60" w:before="2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  Consulting Skills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How would you rate the candidate's consulting skills, particularly in their capacity to comprehend client requirements and deliver impactful solutions? Why?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Rating (1–5):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 (Weak)  2 (Below)  3 (Meets)  4 (Strong)  5 (Exceptional)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000" w:hRule="atLeast"/>
        </w:trP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hd w:fill="D6E4F0" w:val="clear"/>
        <w:spacing w:after="60" w:before="2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  Seniority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Does the candidate possess the appropriate seniority for the role, in your assessment?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Rating (1–5):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 (Weak)  2 (Below)  3 (Meets)  4 (Strong)  5 (Exceptional)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000" w:hRule="atLeast"/>
        </w:trP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hd w:fill="D6E4F0" w:val="clear"/>
        <w:spacing w:after="60" w:before="2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  Communication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How would you describe the candidate's communication style during the interview?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Rating (1–5):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 (Weak)  2 (Below)  3 (Meets)  4 (Strong)  5 (Exceptional)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000" w:hRule="atLeast"/>
        </w:trP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hd w:fill="D6E4F0" w:val="clear"/>
        <w:spacing w:after="60" w:before="2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  Cultural Fit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 your opinion, does the candidate demonstrate a good cultural fit with the team and the organization? Why?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Rating (1–5):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 (Weak)  2 (Below)  3 (Meets)  4 (Strong)  5 (Exceptional)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000" w:hRule="atLeast"/>
        </w:trP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hd w:fill="D6E4F0" w:val="clear"/>
        <w:spacing w:after="60" w:before="2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  Weaknesses / Areas for Improvement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Please share your insights into the candidate's identified weaknesses or areas for improvement.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000" w:hRule="atLeast"/>
        </w:trP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hd w:fill="C00000" w:val="clear"/>
        <w:spacing w:after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INTERNAL ONLY</w:t>
      </w:r>
    </w:p>
    <w:p>
      <w:pPr>
        <w:shd w:fill="D6E4F0" w:val="clear"/>
        <w:spacing w:after="60" w:before="2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  [Internal] Seniority Classification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Based on the candidate's experience and responses, how would you classify their seniority level?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Junior  /  Mid  /  Semi Senior  /  Senior  /  Expert/Technical Lead  /  Manager/Director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hd w:fill="D6E4F0" w:val="clear"/>
        <w:spacing w:after="60" w:before="2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  [Internal] Recommendation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Would you recommend moving this candidate forward to the next step in the hiring process?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 /  No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hd w:fill="D6E4F0" w:val="clear"/>
        <w:spacing w:after="60" w:before="2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  [Internal] Feedback and Comments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Any additional comments or observations from the interview.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400" w:hRule="atLeast"/>
        </w:trP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999999"/>
        <w:sz w:val="16"/>
        <w:szCs w:val="16"/>
      </w:rPr>
      <w:t xml:space="preserve">Acme Consulting — Interview: Jane Doe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2026-03-17T14:32:20.707Z</dcterms:created>
  <dcterms:modified xsi:type="dcterms:W3CDTF">2026-03-17T14:32:20.708Z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