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1B2A4A"/>
          <w:sz w:val="48"/>
          <w:szCs w:val="48"/>
        </w:rPr>
        <w:t xml:space="preserve">PORTFOLIO MANAGEMENT COCKPIT</w:t>
      </w:r>
    </w:p>
    <w:p>
      <w:pPr>
        <w:spacing w:after="200"/>
        <w:jc w:val="center"/>
      </w:pPr>
      <w:r>
        <w:rPr>
          <w:rFonts w:ascii="Arial" w:cs="Arial" w:eastAsia="Arial" w:hAnsi="Arial"/>
          <w:color w:val="E31937"/>
          <w:sz w:val="36"/>
          <w:szCs w:val="36"/>
        </w:rPr>
        <w:t xml:space="preserve">Definitive Product Backlog</w:t>
      </w:r>
    </w:p>
    <w:p>
      <w:pPr>
        <w:spacing w:after="100"/>
        <w:jc w:val="center"/>
      </w:pPr>
      <w:r>
        <w:rPr>
          <w:rFonts w:ascii="Arial" w:cs="Arial" w:eastAsia="Arial" w:hAnsi="Arial"/>
          <w:color w:val="666666"/>
          <w:sz w:val="24"/>
          <w:szCs w:val="24"/>
        </w:rPr>
        <w:t xml:space="preserve">Growth Unit Nova &amp; Taurus Alliance</w:t>
      </w:r>
    </w:p>
    <w:p>
      <w:pPr>
        <w:spacing w:before="600"/>
        <w:jc w:val="center"/>
      </w:pPr>
      <w:r>
        <w:rPr>
          <w:rFonts w:ascii="Arial" w:cs="Arial" w:eastAsia="Arial" w:hAnsi="Arial"/>
          <w:color w:val="999999"/>
          <w:sz w:val="18"/>
          <w:szCs w:val="18"/>
        </w:rPr>
        <w:t xml:space="preserve">Owner: Daniel VM  |  Date: March 2026  |  Version 1.0</w:t>
      </w:r>
    </w:p>
    <w:p>
      <w:pPr>
        <w:spacing w:after="200"/>
        <w:jc w:val="center"/>
      </w:pPr>
      <w:r>
        <w:rPr>
          <w:rFonts w:ascii="Arial" w:cs="Arial" w:eastAsia="Arial" w:hAnsi="Arial"/>
          <w:color w:val="999999"/>
          <w:sz w:val="18"/>
          <w:szCs w:val="18"/>
        </w:rPr>
        <w:t xml:space="preserve">Status: Draft for Review</w:t>
      </w:r>
    </w:p>
    <w:p>
      <w:r>
        <w:br w:type="page"/>
      </w:r>
    </w:p>
    <w:p>
      <w:pPr>
        <w:pStyle w:val="Heading1"/>
        <w:spacing w:after="200" w:before="360"/>
      </w:pPr>
      <w:r>
        <w:rPr>
          <w:rFonts w:ascii="Arial" w:cs="Arial" w:eastAsia="Arial" w:hAnsi="Arial"/>
          <w:b/>
          <w:bCs/>
          <w:color w:val="1B2A4A"/>
          <w:sz w:val="28"/>
          <w:szCs w:val="28"/>
        </w:rPr>
        <w:t xml:space="preserve">1. Context &amp; Scope</w:t>
      </w:r>
    </w:p>
    <w:p>
      <w:pPr>
        <w:spacing w:after="120"/>
      </w:pPr>
      <w:r>
        <w:rPr>
          <w:rFonts w:ascii="Arial" w:cs="Arial" w:eastAsia="Arial" w:hAnsi="Arial"/>
          <w:b w:val="false"/>
          <w:bCs w:val="false"/>
          <w:i w:val="false"/>
          <w:iCs w:val="false"/>
          <w:color w:val="333333"/>
          <w:sz w:val="20"/>
          <w:szCs w:val="20"/>
        </w:rPr>
        <w:t xml:space="preserve">This backlog defines the complete set of epics needed to build the definitive Portfolio Management Cockpit for CI&amp;T Growth Unit Nova and the Taurus Alliance. It consolidates and supersedes all previous project efforts into a single unified system.</w:t>
      </w:r>
    </w:p>
    <w:p>
      <w:pPr>
        <w:pStyle w:val="Heading3"/>
      </w:pPr>
      <w:r>
        <w:rPr>
          <w:rFonts w:ascii="Arial" w:cs="Arial" w:eastAsia="Arial" w:hAnsi="Arial"/>
          <w:b/>
          <w:bCs/>
          <w:color w:val="555555"/>
          <w:sz w:val="22"/>
          <w:szCs w:val="22"/>
        </w:rPr>
        <w:t xml:space="preserve">What this system replaces</w:t>
      </w:r>
    </w:p>
    <w:p>
      <w:pPr>
        <w:pStyle w:val="ListParagraph"/>
        <w:numPr>
          <w:ilvl w:val="0"/>
          <w:numId w:val="2"/>
        </w:numPr>
        <w:spacing w:after="60"/>
      </w:pPr>
      <w:r>
        <w:rPr>
          <w:rFonts w:ascii="Arial" w:cs="Arial" w:eastAsia="Arial" w:hAnsi="Arial"/>
          <w:color w:val="333333"/>
          <w:sz w:val="19"/>
          <w:szCs w:val="19"/>
        </w:rPr>
        <w:t xml:space="preserve">Power BI dashboards (financial overview, client scorecards, revenue pipeline, cost breakdowns, idle/not-billed/investment details)</w:t>
      </w:r>
    </w:p>
    <w:p>
      <w:pPr>
        <w:pStyle w:val="ListParagraph"/>
        <w:numPr>
          <w:ilvl w:val="0"/>
          <w:numId w:val="2"/>
        </w:numPr>
        <w:spacing w:after="60"/>
      </w:pPr>
      <w:r>
        <w:rPr>
          <w:rFonts w:ascii="Arial" w:cs="Arial" w:eastAsia="Arial" w:hAnsi="Arial"/>
          <w:color w:val="333333"/>
          <w:sz w:val="19"/>
          <w:szCs w:val="19"/>
        </w:rPr>
        <w:t xml:space="preserve">portfolio-mgm-cockpit project (partial Next.js prototype with raw tables + views)</w:t>
      </w:r>
    </w:p>
    <w:p>
      <w:pPr>
        <w:pStyle w:val="ListParagraph"/>
        <w:numPr>
          <w:ilvl w:val="0"/>
          <w:numId w:val="2"/>
        </w:numPr>
        <w:spacing w:after="60"/>
      </w:pPr>
      <w:r>
        <w:rPr>
          <w:rFonts w:ascii="Arial" w:cs="Arial" w:eastAsia="Arial" w:hAnsi="Arial"/>
          <w:color w:val="333333"/>
          <w:sz w:val="19"/>
          <w:szCs w:val="19"/>
        </w:rPr>
        <w:t xml:space="preserve">ProfileBook / profile-book projects (talent management, absorbs into People Analytics epic)</w:t>
      </w:r>
    </w:p>
    <w:p>
      <w:pPr>
        <w:pStyle w:val="ListParagraph"/>
        <w:numPr>
          <w:ilvl w:val="0"/>
          <w:numId w:val="2"/>
        </w:numPr>
        <w:spacing w:after="60"/>
      </w:pPr>
      <w:r>
        <w:rPr>
          <w:rFonts w:ascii="Arial" w:cs="Arial" w:eastAsia="Arial" w:hAnsi="Arial"/>
          <w:color w:val="333333"/>
          <w:sz w:val="19"/>
          <w:szCs w:val="19"/>
        </w:rPr>
        <w:t xml:space="preserve">role-directory project (infrastructure MVP, architecture absorbed into EPIC-00)</w:t>
      </w:r>
    </w:p>
    <w:p>
      <w:pPr>
        <w:pStyle w:val="ListParagraph"/>
        <w:numPr>
          <w:ilvl w:val="0"/>
          <w:numId w:val="2"/>
        </w:numPr>
        <w:spacing w:after="60"/>
      </w:pPr>
      <w:r>
        <w:rPr>
          <w:rFonts w:ascii="Arial" w:cs="Arial" w:eastAsia="Arial" w:hAnsi="Arial"/>
          <w:color w:val="333333"/>
          <w:sz w:val="19"/>
          <w:szCs w:val="19"/>
        </w:rPr>
        <w:t xml:space="preserve">2026_Hoshin_Nova Python scripts (6 report generators, replaced by EPIC-17)</w:t>
      </w:r>
    </w:p>
    <w:p>
      <w:pPr>
        <w:pStyle w:val="ListParagraph"/>
        <w:numPr>
          <w:ilvl w:val="0"/>
          <w:numId w:val="2"/>
        </w:numPr>
        <w:spacing w:after="60"/>
      </w:pPr>
      <w:r>
        <w:rPr>
          <w:rFonts w:ascii="Arial" w:cs="Arial" w:eastAsia="Arial" w:hAnsi="Arial"/>
          <w:color w:val="333333"/>
          <w:sz w:val="19"/>
          <w:szCs w:val="19"/>
        </w:rPr>
        <w:t xml:space="preserve">Manual Excel analysis for capacity planning and budget variance</w:t>
      </w:r>
    </w:p>
    <w:p>
      <w:pPr>
        <w:pStyle w:val="Heading3"/>
      </w:pPr>
      <w:r>
        <w:rPr>
          <w:rFonts w:ascii="Arial" w:cs="Arial" w:eastAsia="Arial" w:hAnsi="Arial"/>
          <w:b/>
          <w:bCs/>
          <w:color w:val="555555"/>
          <w:sz w:val="22"/>
          <w:szCs w:val="22"/>
        </w:rPr>
        <w:t xml:space="preserve">Architecture foundation</w:t>
      </w:r>
    </w:p>
    <w:p>
      <w:pPr>
        <w:spacing w:after="120"/>
      </w:pPr>
      <w:r>
        <w:rPr>
          <w:rFonts w:ascii="Arial" w:cs="Arial" w:eastAsia="Arial" w:hAnsi="Arial"/>
          <w:b w:val="false"/>
          <w:bCs w:val="false"/>
          <w:i w:val="false"/>
          <w:iCs w:val="false"/>
          <w:color w:val="333333"/>
          <w:sz w:val="20"/>
          <w:szCs w:val="20"/>
        </w:rPr>
        <w:t xml:space="preserve">The system is designed according to five Architecture Decision Records (ADRs) produced in the planning phase: ADR-001 (Database &amp; Star Schema), ADR-002 (Predictive Modeling), ADR-003 (Open-Source Feasibility), ADR-004 (People Analytics), and ADR-005 (Capacity Planning). All components are 100% open-source, running on a single Oracle Cloud free-tier VM at zero recurring cost.</w:t>
      </w:r>
    </w:p>
    <w:p>
      <w:r>
        <w:br w:type="page"/>
      </w:r>
    </w:p>
    <w:p>
      <w:pPr>
        <w:pStyle w:val="Heading1"/>
        <w:spacing w:after="200" w:before="360"/>
      </w:pPr>
      <w:r>
        <w:rPr>
          <w:rFonts w:ascii="Arial" w:cs="Arial" w:eastAsia="Arial" w:hAnsi="Arial"/>
          <w:b/>
          <w:bCs/>
          <w:color w:val="1B2A4A"/>
          <w:sz w:val="28"/>
          <w:szCs w:val="28"/>
        </w:rPr>
        <w:t xml:space="preserve">2. Phase Overview</w:t>
      </w:r>
    </w:p>
    <w:p>
      <w:pPr>
        <w:spacing w:after="120"/>
      </w:pPr>
      <w:r>
        <w:rPr>
          <w:rFonts w:ascii="Arial" w:cs="Arial" w:eastAsia="Arial" w:hAnsi="Arial"/>
          <w:b w:val="false"/>
          <w:bCs w:val="false"/>
          <w:i w:val="false"/>
          <w:iCs w:val="false"/>
          <w:color w:val="333333"/>
          <w:sz w:val="20"/>
          <w:szCs w:val="20"/>
        </w:rPr>
        <w:t xml:space="preserve">The backlog is organized into 5 phases. Phases 0-1 deliver the core platform that replaces Power BI. Phases 2-4 add advanced analytics, predictions, and automation.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200"/>
        <w:gridCol w:w="1200"/>
        <w:gridCol w:w="324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Phase</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Focus</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Epics</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Duration</w:t>
            </w:r>
          </w:p>
        </w:tc>
        <w:tc>
          <w:tcPr>
            <w:tcW w:type="dxa" w:w="32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Key Outcome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Phase 0</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Foundation</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4-7 wks</w:t>
            </w:r>
          </w:p>
        </w:tc>
        <w:tc>
          <w:tcPr>
            <w:tcW w:type="dxa" w:w="32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Infrastructure + database + ETL ready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Phase 1</w:t>
            </w:r>
          </w:p>
        </w:tc>
        <w:tc>
          <w:tcPr>
            <w:tcW w:type="dxa" w:w="3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Core Dashboards</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5</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8-13 wks</w:t>
            </w:r>
          </w:p>
        </w:tc>
        <w:tc>
          <w:tcPr>
            <w:tcW w:type="dxa" w:w="324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Full Power BI replacement operational</w:t>
            </w:r>
          </w:p>
        </w:tc>
      </w:tr>
      <w:tr>
        <w:tc>
          <w:tcPr>
            <w:tcW w:type="dxa" w:w="12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Phase 2</w:t>
            </w:r>
          </w:p>
        </w:tc>
        <w:tc>
          <w:tcPr>
            <w:tcW w:type="dxa" w:w="30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Advanced Analytics</w:t>
            </w:r>
          </w:p>
        </w:tc>
        <w:tc>
          <w:tcPr>
            <w:tcW w:type="dxa" w:w="12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w:t>
            </w:r>
          </w:p>
        </w:tc>
        <w:tc>
          <w:tcPr>
            <w:tcW w:type="dxa" w:w="12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10-17 wks</w:t>
            </w:r>
          </w:p>
        </w:tc>
        <w:tc>
          <w:tcPr>
            <w:tcW w:type="dxa" w:w="324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People, capacity, alerts, reports, auth</w:t>
            </w:r>
          </w:p>
        </w:tc>
      </w:tr>
      <w:tr>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Phase 3</w:t>
            </w:r>
          </w:p>
        </w:tc>
        <w:tc>
          <w:tcPr>
            <w:tcW w:type="dxa" w:w="30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Predictions (Core)</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6-8 wks</w:t>
            </w:r>
          </w:p>
        </w:tc>
        <w:tc>
          <w:tcPr>
            <w:tcW w:type="dxa" w:w="324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Revenue, margin, idle predictions live</w:t>
            </w:r>
          </w:p>
        </w:tc>
      </w:tr>
      <w:tr>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Phase 4</w:t>
            </w:r>
          </w:p>
        </w:tc>
        <w:tc>
          <w:tcPr>
            <w:tcW w:type="dxa" w:w="30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Predictions (Advanced)</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3</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7-10 wks</w:t>
            </w:r>
          </w:p>
        </w:tc>
        <w:tc>
          <w:tcPr>
            <w:tcW w:type="dxa" w:w="324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Full predictive suite + time travel</w:t>
            </w:r>
          </w:p>
        </w:tc>
      </w:tr>
    </w:tbl>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bCs/>
          <w:color w:val="333333"/>
          <w:sz w:val="20"/>
          <w:szCs w:val="20"/>
        </w:rPr>
        <w:t xml:space="preserve">Total: </w:t>
      </w:r>
      <w:r>
        <w:rPr>
          <w:rFonts w:ascii="Arial" w:cs="Arial" w:eastAsia="Arial" w:hAnsi="Arial"/>
          <w:color w:val="333333"/>
          <w:sz w:val="20"/>
          <w:szCs w:val="20"/>
        </w:rPr>
        <w:t xml:space="preserve">20 epics across 5 phases. Estimated 35-55 weeks end-to-end with a single developer, or 15-25 weeks with a 2-person team. Phases 0+1 (the Power BI replacement) target 12-20 weeks.</w:t>
      </w:r>
    </w:p>
    <w:p>
      <w:r>
        <w:br w:type="page"/>
      </w:r>
    </w:p>
    <w:p>
      <w:pPr>
        <w:pStyle w:val="Heading1"/>
        <w:spacing w:after="200" w:before="360"/>
      </w:pPr>
      <w:r>
        <w:rPr>
          <w:rFonts w:ascii="Arial" w:cs="Arial" w:eastAsia="Arial" w:hAnsi="Arial"/>
          <w:b/>
          <w:bCs/>
          <w:color w:val="1B2A4A"/>
          <w:sz w:val="28"/>
          <w:szCs w:val="28"/>
        </w:rPr>
        <w:t xml:space="preserve">3. Epic Summary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900"/>
        <w:gridCol w:w="700"/>
        <w:gridCol w:w="900"/>
        <w:gridCol w:w="1200"/>
        <w:gridCol w:w="2440"/>
      </w:tblGrid>
      <w:tr>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ID</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Epic Name</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Phase</w:t>
            </w:r>
          </w:p>
        </w:tc>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Pri</w:t>
            </w:r>
          </w:p>
        </w:tc>
        <w:tc>
          <w:tcPr>
            <w:tcW w:type="dxa" w:w="9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Effort</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Depends On</w:t>
            </w:r>
          </w:p>
        </w:tc>
        <w:tc>
          <w:tcPr>
            <w:tcW w:type="dxa" w:w="24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Replaces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EPIC-00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Infrastructure &amp; DevOps Foundation</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Phase 0</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P0</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1-2 weeks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None (start here)</w:t>
            </w:r>
          </w:p>
        </w:tc>
        <w:tc>
          <w:tcPr>
            <w:tcW w:type="dxa" w:w="24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666666"/>
                <w:sz w:val="14"/>
                <w:szCs w:val="14"/>
              </w:rPr>
              <w:t xml:space="preserve">role-directory infrastructure approach (Neon + Clo...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EPIC-01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Database Schema &amp; Star Model</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Phase 0</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P0</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1-2 weeks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E-00</w:t>
            </w:r>
          </w:p>
        </w:tc>
        <w:tc>
          <w:tcPr>
            <w:tcW w:type="dxa" w:w="24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666666"/>
                <w:sz w:val="14"/>
                <w:szCs w:val="14"/>
              </w:rPr>
              <w:t xml:space="preserve">portfolio-mgm-cockpit raw tables + views pattern</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EPIC-02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ETL Pipeline &amp; Data Ingestion</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Phase 0</w:t>
            </w:r>
          </w:p>
        </w:tc>
        <w:tc>
          <w:tcPr>
            <w:tcW w:type="dxa" w:w="7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P0</w:t>
            </w:r>
          </w:p>
        </w:tc>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2-3 weeks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E-01</w:t>
            </w:r>
          </w:p>
        </w:tc>
        <w:tc>
          <w:tcPr>
            <w:tcW w:type="dxa" w:w="24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666666"/>
                <w:sz w:val="14"/>
                <w:szCs w:val="14"/>
              </w:rPr>
              <w:t xml:space="preserve">2026_Hoshin_Nova/scripts/load_outlook_data.py</w:t>
            </w:r>
          </w:p>
        </w:tc>
      </w:tr>
      <w:tr>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EPIC-03</w:t>
            </w:r>
          </w:p>
        </w:tc>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Application Shell &amp; Navigation</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Phase 1</w:t>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P0</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1-2 weeks</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E-00</w:t>
            </w:r>
          </w:p>
        </w:tc>
        <w:tc>
          <w:tcPr>
            <w:tcW w:type="dxa" w:w="244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666666"/>
                <w:sz w:val="14"/>
                <w:szCs w:val="14"/>
              </w:rPr>
              <w:t xml:space="preserve">ProfileBook Iteration 1 (NAVI-001, SRCH-001, FLTR-...</w:t>
            </w:r>
          </w:p>
        </w:tc>
      </w:tr>
      <w:tr>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EPIC-04</w:t>
            </w:r>
          </w:p>
        </w:tc>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Financial Overview Dashboard</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Phase 1</w:t>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P0</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2-3 weeks</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E-02, E-03</w:t>
            </w:r>
          </w:p>
        </w:tc>
        <w:tc>
          <w:tcPr>
            <w:tcW w:type="dxa" w:w="244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666666"/>
                <w:sz w:val="14"/>
                <w:szCs w:val="14"/>
              </w:rPr>
              <w:t xml:space="preserve">Power BI main dashboard (the quarterly stacked bar...</w:t>
            </w:r>
          </w:p>
        </w:tc>
      </w:tr>
      <w:tr>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EPIC-05</w:t>
            </w:r>
          </w:p>
        </w:tc>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Client Portfolio &amp; Scorecards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Phase 1</w:t>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P0</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2-3 weeks</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E-02, E-03</w:t>
            </w:r>
          </w:p>
        </w:tc>
        <w:tc>
          <w:tcPr>
            <w:tcW w:type="dxa" w:w="244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666666"/>
                <w:sz w:val="14"/>
                <w:szCs w:val="14"/>
              </w:rPr>
              <w:t xml:space="preserve">Power BI client tables, portfolio-mgm-cockpit/vO c...</w:t>
            </w:r>
          </w:p>
        </w:tc>
      </w:tr>
      <w:tr>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EPIC-06</w:t>
            </w:r>
          </w:p>
        </w:tc>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Budget vs. Actual Analysis</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Phase 1</w:t>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P0</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 weeks</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E-02, E-03</w:t>
            </w:r>
          </w:p>
        </w:tc>
        <w:tc>
          <w:tcPr>
            <w:tcW w:type="dxa" w:w="244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666666"/>
                <w:sz w:val="14"/>
                <w:szCs w:val="14"/>
              </w:rPr>
              <w:t xml:space="preserve">Power BI baseline comparison view, 2026_Hoshin_Nov...</w:t>
            </w:r>
          </w:p>
        </w:tc>
      </w:tr>
      <w:tr>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EPIC-07</w:t>
            </w:r>
          </w:p>
        </w:tc>
        <w:tc>
          <w:tcPr>
            <w:tcW w:type="dxa" w:w="2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Revenue Pipeline &amp; Demand Confidence</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Phase 1</w:t>
            </w:r>
          </w:p>
        </w:tc>
        <w:tc>
          <w:tcPr>
            <w:tcW w:type="dxa" w:w="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P1</w:t>
            </w:r>
          </w:p>
        </w:tc>
        <w:tc>
          <w:tcPr>
            <w:tcW w:type="dxa" w:w="9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 weeks</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E-02, E-03</w:t>
            </w:r>
          </w:p>
        </w:tc>
        <w:tc>
          <w:tcPr>
            <w:tcW w:type="dxa" w:w="244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color w:val="666666"/>
                <w:sz w:val="14"/>
                <w:szCs w:val="14"/>
              </w:rPr>
              <w:t xml:space="preserve">Power BI revenue status breakdown and growth table...</w:t>
            </w:r>
          </w:p>
        </w:tc>
      </w:tr>
      <w:tr>
        <w:tc>
          <w:tcPr>
            <w:tcW w:type="dxa" w:w="9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EPIC-08</w:t>
            </w:r>
          </w:p>
        </w:tc>
        <w:tc>
          <w:tcPr>
            <w:tcW w:type="dxa" w:w="28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Cost Structure Deep Dive</w:t>
            </w:r>
          </w:p>
        </w:tc>
        <w:tc>
          <w:tcPr>
            <w:tcW w:type="dxa" w:w="9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Phase 2</w:t>
            </w:r>
          </w:p>
        </w:tc>
        <w:tc>
          <w:tcPr>
            <w:tcW w:type="dxa" w:w="7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P1</w:t>
            </w:r>
          </w:p>
        </w:tc>
        <w:tc>
          <w:tcPr>
            <w:tcW w:type="dxa" w:w="9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2-3 weeks</w:t>
            </w:r>
          </w:p>
        </w:tc>
        <w:tc>
          <w:tcPr>
            <w:tcW w:type="dxa" w:w="12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E-04</w:t>
            </w:r>
          </w:p>
        </w:tc>
        <w:tc>
          <w:tcPr>
            <w:tcW w:type="dxa" w:w="244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left"/>
            </w:pPr>
            <w:r>
              <w:rPr>
                <w:rFonts w:ascii="Arial" w:cs="Arial" w:eastAsia="Arial" w:hAnsi="Arial"/>
                <w:b w:val="false"/>
                <w:bCs w:val="false"/>
                <w:color w:val="666666"/>
                <w:sz w:val="14"/>
                <w:szCs w:val="14"/>
              </w:rPr>
              <w:t xml:space="preserve">Power BI Not Billed, Idle, and Investment detail p...</w:t>
            </w:r>
          </w:p>
        </w:tc>
      </w:tr>
      <w:tr>
        <w:tc>
          <w:tcPr>
            <w:tcW w:type="dxa" w:w="9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EPIC-09</w:t>
            </w:r>
          </w:p>
        </w:tc>
        <w:tc>
          <w:tcPr>
            <w:tcW w:type="dxa" w:w="28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People Analytics</w:t>
            </w:r>
          </w:p>
        </w:tc>
        <w:tc>
          <w:tcPr>
            <w:tcW w:type="dxa" w:w="9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Phase 2</w:t>
            </w:r>
          </w:p>
        </w:tc>
        <w:tc>
          <w:tcPr>
            <w:tcW w:type="dxa" w:w="7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P1</w:t>
            </w:r>
          </w:p>
        </w:tc>
        <w:tc>
          <w:tcPr>
            <w:tcW w:type="dxa" w:w="9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3-4 weeks</w:t>
            </w:r>
          </w:p>
        </w:tc>
        <w:tc>
          <w:tcPr>
            <w:tcW w:type="dxa" w:w="12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E-02, E-03</w:t>
            </w:r>
          </w:p>
        </w:tc>
        <w:tc>
          <w:tcPr>
            <w:tcW w:type="dxa" w:w="244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left"/>
            </w:pPr>
            <w:r>
              <w:rPr>
                <w:rFonts w:ascii="Arial" w:cs="Arial" w:eastAsia="Arial" w:hAnsi="Arial"/>
                <w:b w:val="false"/>
                <w:bCs w:val="false"/>
                <w:color w:val="666666"/>
                <w:sz w:val="14"/>
                <w:szCs w:val="14"/>
              </w:rPr>
              <w:t xml:space="preserve">ProfileBook project (all iterations), profile-book...</w:t>
            </w:r>
          </w:p>
        </w:tc>
      </w:tr>
      <w:tr>
        <w:tc>
          <w:tcPr>
            <w:tcW w:type="dxa" w:w="9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EPIC-10</w:t>
            </w:r>
          </w:p>
        </w:tc>
        <w:tc>
          <w:tcPr>
            <w:tcW w:type="dxa" w:w="28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Capacity Strategic Planning</w:t>
            </w:r>
          </w:p>
        </w:tc>
        <w:tc>
          <w:tcPr>
            <w:tcW w:type="dxa" w:w="9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Phase 2</w:t>
            </w:r>
          </w:p>
        </w:tc>
        <w:tc>
          <w:tcPr>
            <w:tcW w:type="dxa" w:w="7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P1</w:t>
            </w:r>
          </w:p>
        </w:tc>
        <w:tc>
          <w:tcPr>
            <w:tcW w:type="dxa" w:w="9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3-4 weeks</w:t>
            </w:r>
          </w:p>
        </w:tc>
        <w:tc>
          <w:tcPr>
            <w:tcW w:type="dxa" w:w="12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E-01, E-03</w:t>
            </w:r>
          </w:p>
        </w:tc>
        <w:tc>
          <w:tcPr>
            <w:tcW w:type="dxa" w:w="244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left"/>
            </w:pPr>
            <w:r>
              <w:rPr>
                <w:rFonts w:ascii="Arial" w:cs="Arial" w:eastAsia="Arial" w:hAnsi="Arial"/>
                <w:b w:val="false"/>
                <w:bCs w:val="false"/>
                <w:color w:val="666666"/>
                <w:sz w:val="14"/>
                <w:szCs w:val="14"/>
              </w:rPr>
              <w:t xml:space="preserve">Manual capacity analysis in spreadsheets</w:t>
            </w:r>
          </w:p>
        </w:tc>
      </w:tr>
      <w:tr>
        <w:tc>
          <w:tcPr>
            <w:tcW w:type="dxa" w:w="9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EPIC-11</w:t>
            </w:r>
          </w:p>
        </w:tc>
        <w:tc>
          <w:tcPr>
            <w:tcW w:type="dxa" w:w="28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Alert Engine &amp; Notification System</w:t>
            </w:r>
          </w:p>
        </w:tc>
        <w:tc>
          <w:tcPr>
            <w:tcW w:type="dxa" w:w="9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Phase 2</w:t>
            </w:r>
          </w:p>
        </w:tc>
        <w:tc>
          <w:tcPr>
            <w:tcW w:type="dxa" w:w="7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P1</w:t>
            </w:r>
          </w:p>
        </w:tc>
        <w:tc>
          <w:tcPr>
            <w:tcW w:type="dxa" w:w="9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1-2 weeks</w:t>
            </w:r>
          </w:p>
        </w:tc>
        <w:tc>
          <w:tcPr>
            <w:tcW w:type="dxa" w:w="12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E-01, E-02</w:t>
            </w:r>
          </w:p>
        </w:tc>
        <w:tc>
          <w:tcPr>
            <w:tcW w:type="dxa" w:w="244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left"/>
            </w:pPr>
            <w:r>
              <w:rPr>
                <w:rFonts w:ascii="Arial" w:cs="Arial" w:eastAsia="Arial" w:hAnsi="Arial"/>
                <w:b w:val="false"/>
                <w:bCs w:val="false"/>
                <w:color w:val="666666"/>
                <w:sz w:val="14"/>
                <w:szCs w:val="14"/>
              </w:rPr>
              <w:t xml:space="preserve">Manual monitoring in Power BI</w:t>
            </w:r>
          </w:p>
        </w:tc>
      </w:tr>
      <w:tr>
        <w:tc>
          <w:tcPr>
            <w:tcW w:type="dxa" w:w="9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EPIC-12</w:t>
            </w:r>
          </w:p>
        </w:tc>
        <w:tc>
          <w:tcPr>
            <w:tcW w:type="dxa" w:w="2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ML Pipeline Foundation</w:t>
            </w:r>
          </w:p>
        </w:tc>
        <w:tc>
          <w:tcPr>
            <w:tcW w:type="dxa" w:w="9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Phase 3</w:t>
            </w:r>
          </w:p>
        </w:tc>
        <w:tc>
          <w:tcPr>
            <w:tcW w:type="dxa" w:w="7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P2</w:t>
            </w:r>
          </w:p>
        </w:tc>
        <w:tc>
          <w:tcPr>
            <w:tcW w:type="dxa" w:w="9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2-3 weeks</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E-01</w:t>
            </w:r>
          </w:p>
        </w:tc>
        <w:tc>
          <w:tcPr>
            <w:tcW w:type="dxa" w:w="244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666666"/>
                <w:sz w:val="14"/>
                <w:szCs w:val="14"/>
              </w:rPr>
              <w:t xml:space="preserve">N/A (new capability)</w:t>
            </w:r>
          </w:p>
        </w:tc>
      </w:tr>
      <w:tr>
        <w:tc>
          <w:tcPr>
            <w:tcW w:type="dxa" w:w="9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EPIC-13</w:t>
            </w:r>
          </w:p>
        </w:tc>
        <w:tc>
          <w:tcPr>
            <w:tcW w:type="dxa" w:w="2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Revenue &amp; Margin Predictions (UC-1, UC-2)</w:t>
            </w:r>
          </w:p>
        </w:tc>
        <w:tc>
          <w:tcPr>
            <w:tcW w:type="dxa" w:w="9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Phase 3</w:t>
            </w:r>
          </w:p>
        </w:tc>
        <w:tc>
          <w:tcPr>
            <w:tcW w:type="dxa" w:w="7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P2</w:t>
            </w:r>
          </w:p>
        </w:tc>
        <w:tc>
          <w:tcPr>
            <w:tcW w:type="dxa" w:w="9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2-3 weeks</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E-12, E-04</w:t>
            </w:r>
          </w:p>
        </w:tc>
        <w:tc>
          <w:tcPr>
            <w:tcW w:type="dxa" w:w="244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666666"/>
                <w:sz w:val="14"/>
                <w:szCs w:val="14"/>
              </w:rPr>
              <w:t xml:space="preserve">N/A (new capability)</w:t>
            </w:r>
          </w:p>
        </w:tc>
      </w:tr>
      <w:tr>
        <w:tc>
          <w:tcPr>
            <w:tcW w:type="dxa" w:w="9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EPIC-14</w:t>
            </w:r>
          </w:p>
        </w:tc>
        <w:tc>
          <w:tcPr>
            <w:tcW w:type="dxa" w:w="28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Utilization &amp; Idle Predictions (UC-3, UC-8)</w:t>
            </w:r>
          </w:p>
        </w:tc>
        <w:tc>
          <w:tcPr>
            <w:tcW w:type="dxa" w:w="9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Phase 3</w:t>
            </w:r>
          </w:p>
        </w:tc>
        <w:tc>
          <w:tcPr>
            <w:tcW w:type="dxa" w:w="7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P2</w:t>
            </w:r>
          </w:p>
        </w:tc>
        <w:tc>
          <w:tcPr>
            <w:tcW w:type="dxa" w:w="9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 weeks</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E-12, E-09, E-10</w:t>
            </w:r>
          </w:p>
        </w:tc>
        <w:tc>
          <w:tcPr>
            <w:tcW w:type="dxa" w:w="244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666666"/>
                <w:sz w:val="14"/>
                <w:szCs w:val="14"/>
              </w:rPr>
              <w:t xml:space="preserve">N/A (new capability)</w:t>
            </w:r>
          </w:p>
        </w:tc>
      </w:tr>
      <w:tr>
        <w:tc>
          <w:tcPr>
            <w:tcW w:type="dxa" w:w="9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EPIC-15</w:t>
            </w:r>
          </w:p>
        </w:tc>
        <w:tc>
          <w:tcPr>
            <w:tcW w:type="dxa" w:w="2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Churn, Variance &amp; Advanced Predictions (UC-4, UC-5, UC-9)</w:t>
            </w:r>
          </w:p>
        </w:tc>
        <w:tc>
          <w:tcPr>
            <w:tcW w:type="dxa" w:w="9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Phase 4</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P2</w:t>
            </w:r>
          </w:p>
        </w:tc>
        <w:tc>
          <w:tcPr>
            <w:tcW w:type="dxa" w:w="9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3-4 weeks</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E-12, E-05, E-09</w:t>
            </w:r>
          </w:p>
        </w:tc>
        <w:tc>
          <w:tcPr>
            <w:tcW w:type="dxa" w:w="244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pPr>
              <w:jc w:val="left"/>
            </w:pPr>
            <w:r>
              <w:rPr>
                <w:rFonts w:ascii="Arial" w:cs="Arial" w:eastAsia="Arial" w:hAnsi="Arial"/>
                <w:b w:val="false"/>
                <w:bCs w:val="false"/>
                <w:color w:val="666666"/>
                <w:sz w:val="14"/>
                <w:szCs w:val="14"/>
              </w:rPr>
              <w:t xml:space="preserve">N/A (new capability)</w:t>
            </w:r>
          </w:p>
        </w:tc>
      </w:tr>
      <w:tr>
        <w:tc>
          <w:tcPr>
            <w:tcW w:type="dxa" w:w="9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EPIC-16</w:t>
            </w:r>
          </w:p>
        </w:tc>
        <w:tc>
          <w:tcPr>
            <w:tcW w:type="dxa" w:w="2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Capacity Forecasting Models (UC-10, UC-11, UC-12)</w:t>
            </w:r>
          </w:p>
        </w:tc>
        <w:tc>
          <w:tcPr>
            <w:tcW w:type="dxa" w:w="9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Phase 4</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P2</w:t>
            </w:r>
          </w:p>
        </w:tc>
        <w:tc>
          <w:tcPr>
            <w:tcW w:type="dxa" w:w="9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3-4 weeks</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E-12, E-10</w:t>
            </w:r>
          </w:p>
        </w:tc>
        <w:tc>
          <w:tcPr>
            <w:tcW w:type="dxa" w:w="244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pPr>
              <w:jc w:val="left"/>
            </w:pPr>
            <w:r>
              <w:rPr>
                <w:rFonts w:ascii="Arial" w:cs="Arial" w:eastAsia="Arial" w:hAnsi="Arial"/>
                <w:b w:val="false"/>
                <w:bCs w:val="false"/>
                <w:color w:val="666666"/>
                <w:sz w:val="14"/>
                <w:szCs w:val="14"/>
              </w:rPr>
              <w:t xml:space="preserve">N/A (new capability)</w:t>
            </w:r>
          </w:p>
        </w:tc>
      </w:tr>
      <w:tr>
        <w:tc>
          <w:tcPr>
            <w:tcW w:type="dxa" w:w="9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EPIC-17</w:t>
            </w:r>
          </w:p>
        </w:tc>
        <w:tc>
          <w:tcPr>
            <w:tcW w:type="dxa" w:w="28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Report Generation &amp; Export</w:t>
            </w:r>
          </w:p>
        </w:tc>
        <w:tc>
          <w:tcPr>
            <w:tcW w:type="dxa" w:w="9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Phase 2</w:t>
            </w:r>
          </w:p>
        </w:tc>
        <w:tc>
          <w:tcPr>
            <w:tcW w:type="dxa" w:w="7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P1</w:t>
            </w:r>
          </w:p>
        </w:tc>
        <w:tc>
          <w:tcPr>
            <w:tcW w:type="dxa" w:w="9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 weeks</w:t>
            </w:r>
          </w:p>
        </w:tc>
        <w:tc>
          <w:tcPr>
            <w:tcW w:type="dxa" w:w="12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E-04, E-05</w:t>
            </w:r>
          </w:p>
        </w:tc>
        <w:tc>
          <w:tcPr>
            <w:tcW w:type="dxa" w:w="244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left"/>
            </w:pPr>
            <w:r>
              <w:rPr>
                <w:rFonts w:ascii="Arial" w:cs="Arial" w:eastAsia="Arial" w:hAnsi="Arial"/>
                <w:b w:val="false"/>
                <w:bCs w:val="false"/>
                <w:color w:val="666666"/>
                <w:sz w:val="14"/>
                <w:szCs w:val="14"/>
              </w:rPr>
              <w:t xml:space="preserve">2026_Hoshin_Nova/scripts/generate_*.py (6 scripts)</w:t>
            </w:r>
          </w:p>
        </w:tc>
      </w:tr>
      <w:tr>
        <w:tc>
          <w:tcPr>
            <w:tcW w:type="dxa" w:w="9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EPIC-18</w:t>
            </w:r>
          </w:p>
        </w:tc>
        <w:tc>
          <w:tcPr>
            <w:tcW w:type="dxa" w:w="28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Authentication &amp; Access Control</w:t>
            </w:r>
          </w:p>
        </w:tc>
        <w:tc>
          <w:tcPr>
            <w:tcW w:type="dxa" w:w="9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Phase 2</w:t>
            </w:r>
          </w:p>
        </w:tc>
        <w:tc>
          <w:tcPr>
            <w:tcW w:type="dxa" w:w="7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P1</w:t>
            </w:r>
          </w:p>
        </w:tc>
        <w:tc>
          <w:tcPr>
            <w:tcW w:type="dxa" w:w="9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1-2 weeks</w:t>
            </w:r>
          </w:p>
        </w:tc>
        <w:tc>
          <w:tcPr>
            <w:tcW w:type="dxa" w:w="12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E-03</w:t>
            </w:r>
          </w:p>
        </w:tc>
        <w:tc>
          <w:tcPr>
            <w:tcW w:type="dxa" w:w="244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left"/>
            </w:pPr>
            <w:r>
              <w:rPr>
                <w:rFonts w:ascii="Arial" w:cs="Arial" w:eastAsia="Arial" w:hAnsi="Arial"/>
                <w:b w:val="false"/>
                <w:bCs w:val="false"/>
                <w:color w:val="666666"/>
                <w:sz w:val="14"/>
                <w:szCs w:val="14"/>
              </w:rPr>
              <w:t xml:space="preserve">role-directory authentication approach</w:t>
            </w:r>
          </w:p>
        </w:tc>
      </w:tr>
      <w:tr>
        <w:tc>
          <w:tcPr>
            <w:tcW w:type="dxa" w:w="9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pPr>
              <w:jc w:val="left"/>
            </w:pPr>
            <w:r>
              <w:rPr>
                <w:rFonts w:ascii="Arial" w:cs="Arial" w:eastAsia="Arial" w:hAnsi="Arial"/>
                <w:b/>
                <w:bCs/>
                <w:color w:val="333333"/>
                <w:sz w:val="16"/>
                <w:szCs w:val="16"/>
              </w:rPr>
              <w:t xml:space="preserve">EPIC-19</w:t>
            </w:r>
          </w:p>
        </w:tc>
        <w:tc>
          <w:tcPr>
            <w:tcW w:type="dxa" w:w="28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Historical Snapshots &amp; Time Travel</w:t>
            </w:r>
          </w:p>
        </w:tc>
        <w:tc>
          <w:tcPr>
            <w:tcW w:type="dxa" w:w="9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Phase 4</w:t>
            </w:r>
          </w:p>
        </w:tc>
        <w:tc>
          <w:tcPr>
            <w:tcW w:type="dxa" w:w="7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P2</w:t>
            </w:r>
          </w:p>
        </w:tc>
        <w:tc>
          <w:tcPr>
            <w:tcW w:type="dxa" w:w="9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1-2 weeks</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pPr>
              <w:jc w:val="left"/>
            </w:pPr>
            <w:r>
              <w:rPr>
                <w:rFonts w:ascii="Arial" w:cs="Arial" w:eastAsia="Arial" w:hAnsi="Arial"/>
                <w:b w:val="false"/>
                <w:bCs w:val="false"/>
                <w:color w:val="333333"/>
                <w:sz w:val="15"/>
                <w:szCs w:val="15"/>
              </w:rPr>
              <w:t xml:space="preserve">E-02</w:t>
            </w:r>
          </w:p>
        </w:tc>
        <w:tc>
          <w:tcPr>
            <w:tcW w:type="dxa" w:w="244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vAlign w:val="center"/>
          </w:tcPr>
          <w:p>
            <w:pPr>
              <w:jc w:val="left"/>
            </w:pPr>
            <w:r>
              <w:rPr>
                <w:rFonts w:ascii="Arial" w:cs="Arial" w:eastAsia="Arial" w:hAnsi="Arial"/>
                <w:b w:val="false"/>
                <w:bCs w:val="false"/>
                <w:color w:val="666666"/>
                <w:sz w:val="14"/>
                <w:szCs w:val="14"/>
              </w:rPr>
              <w:t xml:space="preserve">Manual comparison of multiple Excel files</w:t>
            </w:r>
          </w:p>
        </w:tc>
      </w:tr>
    </w:tbl>
    <w:p>
      <w:r>
        <w:br w:type="page"/>
      </w:r>
    </w:p>
    <w:p>
      <w:pPr>
        <w:pStyle w:val="Heading1"/>
        <w:spacing w:after="200" w:before="360"/>
      </w:pPr>
      <w:r>
        <w:rPr>
          <w:rFonts w:ascii="Arial" w:cs="Arial" w:eastAsia="Arial" w:hAnsi="Arial"/>
          <w:b/>
          <w:bCs/>
          <w:color w:val="1B2A4A"/>
          <w:sz w:val="28"/>
          <w:szCs w:val="28"/>
        </w:rPr>
        <w:t xml:space="preserve">4. Epic Details</w:t>
      </w:r>
    </w:p>
    <w:p>
      <w:pPr>
        <w:pStyle w:val="Heading2"/>
        <w:spacing w:after="120" w:before="300"/>
      </w:pPr>
      <w:r>
        <w:rPr>
          <w:rFonts w:ascii="Arial" w:cs="Arial" w:eastAsia="Arial" w:hAnsi="Arial"/>
          <w:b/>
          <w:bCs/>
          <w:color w:val="E31937"/>
          <w:sz w:val="24"/>
          <w:szCs w:val="24"/>
        </w:rPr>
        <w:t xml:space="preserve">EPIC-00  </w:t>
      </w:r>
      <w:r>
        <w:rPr>
          <w:rFonts w:ascii="Arial" w:cs="Arial" w:eastAsia="Arial" w:hAnsi="Arial"/>
          <w:b/>
          <w:bCs/>
          <w:color w:val="1B2A4A"/>
          <w:sz w:val="24"/>
          <w:szCs w:val="24"/>
        </w:rPr>
        <w:t xml:space="preserve">Infrastructure &amp; DevOps Foundation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none" w:sz="0"/>
              <w:left w:val="none" w:sz="0"/>
              <w:bottom w:val="none" w:sz="0"/>
              <w:right w:val="none" w:sz="0"/>
            </w:tcBorders>
            <w:shd w:fill="F5F5F5"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Phase: </w:t>
            </w:r>
            <w:r>
              <w:rPr>
                <w:rFonts w:ascii="Arial" w:cs="Arial" w:eastAsia="Arial" w:hAnsi="Arial"/>
                <w:color w:val="333333"/>
                <w:sz w:val="17"/>
                <w:szCs w:val="17"/>
              </w:rPr>
              <w:t xml:space="preserve">Phase 0</w:t>
            </w:r>
          </w:p>
        </w:tc>
        <w:tc>
          <w:tcPr>
            <w:tcW w:type="dxa" w:w="2460"/>
            <w:tcBorders>
              <w:top w:val="none" w:sz="0"/>
              <w:left w:val="none" w:sz="0"/>
              <w:bottom w:val="none" w:sz="0"/>
              <w:right w:val="none" w:sz="0"/>
            </w:tcBorders>
            <w:shd w:fill="F5F5F5"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Priority: </w:t>
            </w:r>
            <w:r>
              <w:rPr>
                <w:rFonts w:ascii="Arial" w:cs="Arial" w:eastAsia="Arial" w:hAnsi="Arial"/>
                <w:color w:val="333333"/>
                <w:sz w:val="17"/>
                <w:szCs w:val="17"/>
              </w:rPr>
              <w:t xml:space="preserve">P0</w:t>
            </w:r>
          </w:p>
        </w:tc>
        <w:tc>
          <w:tcPr>
            <w:tcW w:type="dxa" w:w="2460"/>
            <w:tcBorders>
              <w:top w:val="none" w:sz="0"/>
              <w:left w:val="none" w:sz="0"/>
              <w:bottom w:val="none" w:sz="0"/>
              <w:right w:val="none" w:sz="0"/>
            </w:tcBorders>
            <w:shd w:fill="F5F5F5"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Effort: </w:t>
            </w:r>
            <w:r>
              <w:rPr>
                <w:rFonts w:ascii="Arial" w:cs="Arial" w:eastAsia="Arial" w:hAnsi="Arial"/>
                <w:color w:val="333333"/>
                <w:sz w:val="17"/>
                <w:szCs w:val="17"/>
              </w:rPr>
              <w:t xml:space="preserve">1-2 weeks</w:t>
            </w:r>
          </w:p>
        </w:tc>
        <w:tc>
          <w:tcPr>
            <w:tcW w:type="dxa" w:w="2460"/>
            <w:tcBorders>
              <w:top w:val="none" w:sz="0"/>
              <w:left w:val="none" w:sz="0"/>
              <w:bottom w:val="none" w:sz="0"/>
              <w:right w:val="none" w:sz="0"/>
            </w:tcBorders>
            <w:shd w:fill="F5F5F5"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ADRs: </w:t>
            </w:r>
            <w:r>
              <w:rPr>
                <w:rFonts w:ascii="Arial" w:cs="Arial" w:eastAsia="Arial" w:hAnsi="Arial"/>
                <w:color w:val="333333"/>
                <w:sz w:val="17"/>
                <w:szCs w:val="17"/>
              </w:rPr>
              <w:t xml:space="preserve">ADR-001, ADR-003</w:t>
            </w:r>
          </w:p>
        </w:tc>
      </w:tr>
    </w:tbl>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Provision the single Oracle Cloud free-tier VM (4 ARM cores, 24 GB RAM, 200 GB disk). Install and configure PostgreSQL 16, Node.js 22 LTS, PM2 process manager, Caddy reverse proxy with automatic TLS, and system cron for scheduled jobs. Set up the project repository, CI scripts, Docker Compose for local development, and environment configuration (dev/staging/production). This is the foundation everything else depends on.</w:t>
      </w:r>
    </w:p>
    <w:p>
      <w:pPr>
        <w:spacing w:after="120"/>
      </w:pPr>
      <w:r>
        <w:rPr>
          <w:rFonts w:ascii="Arial" w:cs="Arial" w:eastAsia="Arial" w:hAnsi="Arial"/>
          <w:b/>
          <w:bCs/>
          <w:color w:val="333333"/>
          <w:sz w:val="20"/>
          <w:szCs w:val="20"/>
        </w:rPr>
        <w:t xml:space="preserve">Depends on: </w:t>
      </w:r>
      <w:r>
        <w:rPr>
          <w:rFonts w:ascii="Arial" w:cs="Arial" w:eastAsia="Arial" w:hAnsi="Arial"/>
          <w:color w:val="333333"/>
          <w:sz w:val="20"/>
          <w:szCs w:val="20"/>
        </w:rPr>
        <w:t xml:space="preserve">None (start here)</w:t>
      </w:r>
    </w:p>
    <w:p>
      <w:pPr>
        <w:spacing w:after="120"/>
      </w:pPr>
      <w:r>
        <w:rPr>
          <w:rFonts w:ascii="Arial" w:cs="Arial" w:eastAsia="Arial" w:hAnsi="Arial"/>
          <w:b/>
          <w:bCs/>
          <w:color w:val="E31937"/>
          <w:sz w:val="20"/>
          <w:szCs w:val="20"/>
        </w:rPr>
        <w:t xml:space="preserve">Replaces: </w:t>
      </w:r>
      <w:r>
        <w:rPr>
          <w:rFonts w:ascii="Arial" w:cs="Arial" w:eastAsia="Arial" w:hAnsi="Arial"/>
          <w:i/>
          <w:iCs/>
          <w:color w:val="666666"/>
          <w:sz w:val="20"/>
          <w:szCs w:val="20"/>
        </w:rPr>
        <w:t xml:space="preserve">role-directory infrastructure approach (Neon + Cloud Run)</w:t>
      </w:r>
    </w:p>
    <w:p>
      <w:pPr>
        <w:pStyle w:val="Heading3"/>
      </w:pPr>
      <w:r>
        <w:rPr>
          <w:rFonts w:ascii="Arial" w:cs="Arial" w:eastAsia="Arial" w:hAnsi="Arial"/>
          <w:b/>
          <w:bCs/>
          <w:color w:val="555555"/>
          <w:sz w:val="20"/>
          <w:szCs w:val="20"/>
        </w:rPr>
        <w:t xml:space="preserve">Key Deliverables</w:t>
      </w:r>
    </w:p>
    <w:p>
      <w:pPr>
        <w:pStyle w:val="ListParagraph"/>
        <w:numPr>
          <w:ilvl w:val="0"/>
          <w:numId w:val="2"/>
        </w:numPr>
        <w:spacing w:after="60"/>
      </w:pPr>
      <w:r>
        <w:rPr>
          <w:rFonts w:ascii="Arial" w:cs="Arial" w:eastAsia="Arial" w:hAnsi="Arial"/>
          <w:color w:val="333333"/>
          <w:sz w:val="19"/>
          <w:szCs w:val="19"/>
        </w:rPr>
        <w:t xml:space="preserve">Oracle Cloud VM provisioned and hardened</w:t>
      </w:r>
    </w:p>
    <w:p>
      <w:pPr>
        <w:pStyle w:val="ListParagraph"/>
        <w:numPr>
          <w:ilvl w:val="0"/>
          <w:numId w:val="2"/>
        </w:numPr>
        <w:spacing w:after="60"/>
      </w:pPr>
      <w:r>
        <w:rPr>
          <w:rFonts w:ascii="Arial" w:cs="Arial" w:eastAsia="Arial" w:hAnsi="Arial"/>
          <w:color w:val="333333"/>
          <w:sz w:val="19"/>
          <w:szCs w:val="19"/>
        </w:rPr>
        <w:t xml:space="preserve">PostgreSQL 16 installed with automated backups</w:t>
      </w:r>
    </w:p>
    <w:p>
      <w:pPr>
        <w:pStyle w:val="ListParagraph"/>
        <w:numPr>
          <w:ilvl w:val="0"/>
          <w:numId w:val="2"/>
        </w:numPr>
        <w:spacing w:after="60"/>
      </w:pPr>
      <w:r>
        <w:rPr>
          <w:rFonts w:ascii="Arial" w:cs="Arial" w:eastAsia="Arial" w:hAnsi="Arial"/>
          <w:color w:val="333333"/>
          <w:sz w:val="19"/>
          <w:szCs w:val="19"/>
        </w:rPr>
        <w:t xml:space="preserve">Caddy reverse proxy with TLS termination</w:t>
      </w:r>
    </w:p>
    <w:p>
      <w:pPr>
        <w:pStyle w:val="ListParagraph"/>
        <w:numPr>
          <w:ilvl w:val="0"/>
          <w:numId w:val="2"/>
        </w:numPr>
        <w:spacing w:after="60"/>
      </w:pPr>
      <w:r>
        <w:rPr>
          <w:rFonts w:ascii="Arial" w:cs="Arial" w:eastAsia="Arial" w:hAnsi="Arial"/>
          <w:color w:val="333333"/>
          <w:sz w:val="19"/>
          <w:szCs w:val="19"/>
        </w:rPr>
        <w:t xml:space="preserve">PM2 process management for Next.js</w:t>
      </w:r>
    </w:p>
    <w:p>
      <w:pPr>
        <w:pStyle w:val="ListParagraph"/>
        <w:numPr>
          <w:ilvl w:val="0"/>
          <w:numId w:val="2"/>
        </w:numPr>
        <w:spacing w:after="60"/>
      </w:pPr>
      <w:r>
        <w:rPr>
          <w:rFonts w:ascii="Arial" w:cs="Arial" w:eastAsia="Arial" w:hAnsi="Arial"/>
          <w:color w:val="333333"/>
          <w:sz w:val="19"/>
          <w:szCs w:val="19"/>
        </w:rPr>
        <w:t xml:space="preserve">Docker Compose for local development</w:t>
      </w:r>
    </w:p>
    <w:p>
      <w:pPr>
        <w:pStyle w:val="ListParagraph"/>
        <w:numPr>
          <w:ilvl w:val="0"/>
          <w:numId w:val="2"/>
        </w:numPr>
        <w:spacing w:after="60"/>
      </w:pPr>
      <w:r>
        <w:rPr>
          <w:rFonts w:ascii="Arial" w:cs="Arial" w:eastAsia="Arial" w:hAnsi="Arial"/>
          <w:color w:val="333333"/>
          <w:sz w:val="19"/>
          <w:szCs w:val="19"/>
        </w:rPr>
        <w:t xml:space="preserve">Repository structure and CI pipeline</w:t>
      </w:r>
    </w:p>
    <w:p>
      <w:pPr>
        <w:pStyle w:val="ListParagraph"/>
        <w:numPr>
          <w:ilvl w:val="0"/>
          <w:numId w:val="2"/>
        </w:numPr>
        <w:spacing w:after="60"/>
      </w:pPr>
      <w:r>
        <w:rPr>
          <w:rFonts w:ascii="Arial" w:cs="Arial" w:eastAsia="Arial" w:hAnsi="Arial"/>
          <w:color w:val="333333"/>
          <w:sz w:val="19"/>
          <w:szCs w:val="19"/>
        </w:rPr>
        <w:t xml:space="preserve">Environment configuration management</w:t>
      </w:r>
    </w:p>
    <w:p>
      <w:pPr>
        <w:spacing w:after="120"/>
      </w:pPr>
      <w:r>
        <w:rPr>
          <w:rFonts w:ascii="Arial" w:cs="Arial" w:eastAsia="Arial" w:hAnsi="Arial"/>
          <w:b w:val="false"/>
          <w:bCs w:val="false"/>
          <w:i w:val="false"/>
          <w:iCs w:val="false"/>
          <w:color w:val="333333"/>
          <w:sz w:val="20"/>
          <w:szCs w:val="20"/>
        </w:rPr>
        <w:t xml:space="preserve"/>
      </w:r>
    </w:p>
    <w:p>
      <w:pPr>
        <w:pStyle w:val="Heading2"/>
        <w:spacing w:after="120" w:before="300"/>
      </w:pPr>
      <w:r>
        <w:rPr>
          <w:rFonts w:ascii="Arial" w:cs="Arial" w:eastAsia="Arial" w:hAnsi="Arial"/>
          <w:b/>
          <w:bCs/>
          <w:color w:val="E31937"/>
          <w:sz w:val="24"/>
          <w:szCs w:val="24"/>
        </w:rPr>
        <w:t xml:space="preserve">EPIC-01  </w:t>
      </w:r>
      <w:r>
        <w:rPr>
          <w:rFonts w:ascii="Arial" w:cs="Arial" w:eastAsia="Arial" w:hAnsi="Arial"/>
          <w:b/>
          <w:bCs/>
          <w:color w:val="1B2A4A"/>
          <w:sz w:val="24"/>
          <w:szCs w:val="24"/>
        </w:rPr>
        <w:t xml:space="preserve">Database Schema &amp; Star Model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none" w:sz="0"/>
              <w:left w:val="none" w:sz="0"/>
              <w:bottom w:val="none" w:sz="0"/>
              <w:right w:val="none" w:sz="0"/>
            </w:tcBorders>
            <w:shd w:fill="F5F5F5"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Phase: </w:t>
            </w:r>
            <w:r>
              <w:rPr>
                <w:rFonts w:ascii="Arial" w:cs="Arial" w:eastAsia="Arial" w:hAnsi="Arial"/>
                <w:color w:val="333333"/>
                <w:sz w:val="17"/>
                <w:szCs w:val="17"/>
              </w:rPr>
              <w:t xml:space="preserve">Phase 0</w:t>
            </w:r>
          </w:p>
        </w:tc>
        <w:tc>
          <w:tcPr>
            <w:tcW w:type="dxa" w:w="2460"/>
            <w:tcBorders>
              <w:top w:val="none" w:sz="0"/>
              <w:left w:val="none" w:sz="0"/>
              <w:bottom w:val="none" w:sz="0"/>
              <w:right w:val="none" w:sz="0"/>
            </w:tcBorders>
            <w:shd w:fill="F5F5F5"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Priority: </w:t>
            </w:r>
            <w:r>
              <w:rPr>
                <w:rFonts w:ascii="Arial" w:cs="Arial" w:eastAsia="Arial" w:hAnsi="Arial"/>
                <w:color w:val="333333"/>
                <w:sz w:val="17"/>
                <w:szCs w:val="17"/>
              </w:rPr>
              <w:t xml:space="preserve">P0</w:t>
            </w:r>
          </w:p>
        </w:tc>
        <w:tc>
          <w:tcPr>
            <w:tcW w:type="dxa" w:w="2460"/>
            <w:tcBorders>
              <w:top w:val="none" w:sz="0"/>
              <w:left w:val="none" w:sz="0"/>
              <w:bottom w:val="none" w:sz="0"/>
              <w:right w:val="none" w:sz="0"/>
            </w:tcBorders>
            <w:shd w:fill="F5F5F5"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Effort: </w:t>
            </w:r>
            <w:r>
              <w:rPr>
                <w:rFonts w:ascii="Arial" w:cs="Arial" w:eastAsia="Arial" w:hAnsi="Arial"/>
                <w:color w:val="333333"/>
                <w:sz w:val="17"/>
                <w:szCs w:val="17"/>
              </w:rPr>
              <w:t xml:space="preserve">1-2 weeks</w:t>
            </w:r>
          </w:p>
        </w:tc>
        <w:tc>
          <w:tcPr>
            <w:tcW w:type="dxa" w:w="2460"/>
            <w:tcBorders>
              <w:top w:val="none" w:sz="0"/>
              <w:left w:val="none" w:sz="0"/>
              <w:bottom w:val="none" w:sz="0"/>
              <w:right w:val="none" w:sz="0"/>
            </w:tcBorders>
            <w:shd w:fill="F5F5F5"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ADRs: </w:t>
            </w:r>
            <w:r>
              <w:rPr>
                <w:rFonts w:ascii="Arial" w:cs="Arial" w:eastAsia="Arial" w:hAnsi="Arial"/>
                <w:color w:val="333333"/>
                <w:sz w:val="17"/>
                <w:szCs w:val="17"/>
              </w:rPr>
              <w:t xml:space="preserve">ADR-001, ADR-004, ADR-005</w:t>
            </w:r>
          </w:p>
        </w:tc>
      </w:tr>
    </w:tbl>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Implement the full star schema from ADR-001: 6 dimension tables (dim_time, dim_org, dim_client, dim_contract, dim_person, dim_revenue_status), the central fact_financial table, and all materialized views. This includes mv_monthly_gu_summary (all 8 KPIs), mv_monthly_client_summary, mv_budget_vs_actual, plus the people analytics views (mv_person_monthly, mv_person_career) and capacity planning views (mv_capacity_supply, mv_demand_confidence, mv_capacity_by_role, mv_attrition_proxy). Also deploy the alert engine tables (alert_rules, alert_events) with the 8 seed rules.</w:t>
      </w:r>
    </w:p>
    <w:p>
      <w:pPr>
        <w:spacing w:after="120"/>
      </w:pPr>
      <w:r>
        <w:rPr>
          <w:rFonts w:ascii="Arial" w:cs="Arial" w:eastAsia="Arial" w:hAnsi="Arial"/>
          <w:b/>
          <w:bCs/>
          <w:color w:val="333333"/>
          <w:sz w:val="20"/>
          <w:szCs w:val="20"/>
        </w:rPr>
        <w:t xml:space="preserve">Depends on: </w:t>
      </w:r>
      <w:r>
        <w:rPr>
          <w:rFonts w:ascii="Arial" w:cs="Arial" w:eastAsia="Arial" w:hAnsi="Arial"/>
          <w:color w:val="333333"/>
          <w:sz w:val="20"/>
          <w:szCs w:val="20"/>
        </w:rPr>
        <w:t xml:space="preserve">EPIC-00</w:t>
      </w:r>
    </w:p>
    <w:p>
      <w:pPr>
        <w:spacing w:after="120"/>
      </w:pPr>
      <w:r>
        <w:rPr>
          <w:rFonts w:ascii="Arial" w:cs="Arial" w:eastAsia="Arial" w:hAnsi="Arial"/>
          <w:b/>
          <w:bCs/>
          <w:color w:val="E31937"/>
          <w:sz w:val="20"/>
          <w:szCs w:val="20"/>
        </w:rPr>
        <w:t xml:space="preserve">Replaces: </w:t>
      </w:r>
      <w:r>
        <w:rPr>
          <w:rFonts w:ascii="Arial" w:cs="Arial" w:eastAsia="Arial" w:hAnsi="Arial"/>
          <w:i/>
          <w:iCs/>
          <w:color w:val="666666"/>
          <w:sz w:val="20"/>
          <w:szCs w:val="20"/>
        </w:rPr>
        <w:t xml:space="preserve">portfolio-mgm-cockpit raw tables + views pattern</w:t>
      </w:r>
    </w:p>
    <w:p>
      <w:pPr>
        <w:pStyle w:val="Heading3"/>
      </w:pPr>
      <w:r>
        <w:rPr>
          <w:rFonts w:ascii="Arial" w:cs="Arial" w:eastAsia="Arial" w:hAnsi="Arial"/>
          <w:b/>
          <w:bCs/>
          <w:color w:val="555555"/>
          <w:sz w:val="20"/>
          <w:szCs w:val="20"/>
        </w:rPr>
        <w:t xml:space="preserve">Key Deliverables</w:t>
      </w:r>
    </w:p>
    <w:p>
      <w:pPr>
        <w:pStyle w:val="ListParagraph"/>
        <w:numPr>
          <w:ilvl w:val="0"/>
          <w:numId w:val="2"/>
        </w:numPr>
        <w:spacing w:after="60"/>
      </w:pPr>
      <w:r>
        <w:rPr>
          <w:rFonts w:ascii="Arial" w:cs="Arial" w:eastAsia="Arial" w:hAnsi="Arial"/>
          <w:color w:val="333333"/>
          <w:sz w:val="19"/>
          <w:szCs w:val="19"/>
        </w:rPr>
        <w:t xml:space="preserve">6 dimension tables with proper indexing</w:t>
      </w:r>
    </w:p>
    <w:p>
      <w:pPr>
        <w:pStyle w:val="ListParagraph"/>
        <w:numPr>
          <w:ilvl w:val="0"/>
          <w:numId w:val="2"/>
        </w:numPr>
        <w:spacing w:after="60"/>
      </w:pPr>
      <w:r>
        <w:rPr>
          <w:rFonts w:ascii="Arial" w:cs="Arial" w:eastAsia="Arial" w:hAnsi="Arial"/>
          <w:color w:val="333333"/>
          <w:sz w:val="19"/>
          <w:szCs w:val="19"/>
        </w:rPr>
        <w:t xml:space="preserve">fact_financial table with partitioning</w:t>
      </w:r>
    </w:p>
    <w:p>
      <w:pPr>
        <w:pStyle w:val="ListParagraph"/>
        <w:numPr>
          <w:ilvl w:val="0"/>
          <w:numId w:val="2"/>
        </w:numPr>
        <w:spacing w:after="60"/>
      </w:pPr>
      <w:r>
        <w:rPr>
          <w:rFonts w:ascii="Arial" w:cs="Arial" w:eastAsia="Arial" w:hAnsi="Arial"/>
          <w:color w:val="333333"/>
          <w:sz w:val="19"/>
          <w:szCs w:val="19"/>
        </w:rPr>
        <w:t xml:space="preserve">9 materialized views covering all pages</w:t>
      </w:r>
    </w:p>
    <w:p>
      <w:pPr>
        <w:pStyle w:val="ListParagraph"/>
        <w:numPr>
          <w:ilvl w:val="0"/>
          <w:numId w:val="2"/>
        </w:numPr>
        <w:spacing w:after="60"/>
      </w:pPr>
      <w:r>
        <w:rPr>
          <w:rFonts w:ascii="Arial" w:cs="Arial" w:eastAsia="Arial" w:hAnsi="Arial"/>
          <w:color w:val="333333"/>
          <w:sz w:val="19"/>
          <w:szCs w:val="19"/>
        </w:rPr>
        <w:t xml:space="preserve">Alert engine tables with 8 seed rules</w:t>
      </w:r>
    </w:p>
    <w:p>
      <w:pPr>
        <w:pStyle w:val="ListParagraph"/>
        <w:numPr>
          <w:ilvl w:val="0"/>
          <w:numId w:val="2"/>
        </w:numPr>
        <w:spacing w:after="60"/>
      </w:pPr>
      <w:r>
        <w:rPr>
          <w:rFonts w:ascii="Arial" w:cs="Arial" w:eastAsia="Arial" w:hAnsi="Arial"/>
          <w:color w:val="333333"/>
          <w:sz w:val="19"/>
          <w:szCs w:val="19"/>
        </w:rPr>
        <w:t xml:space="preserve">Database migration scripts</w:t>
      </w:r>
    </w:p>
    <w:p>
      <w:pPr>
        <w:pStyle w:val="ListParagraph"/>
        <w:numPr>
          <w:ilvl w:val="0"/>
          <w:numId w:val="2"/>
        </w:numPr>
        <w:spacing w:after="60"/>
      </w:pPr>
      <w:r>
        <w:rPr>
          <w:rFonts w:ascii="Arial" w:cs="Arial" w:eastAsia="Arial" w:hAnsi="Arial"/>
          <w:color w:val="333333"/>
          <w:sz w:val="19"/>
          <w:szCs w:val="19"/>
        </w:rPr>
        <w:t xml:space="preserve">Refresh strategy for materialized views</w:t>
      </w:r>
    </w:p>
    <w:p>
      <w:pPr>
        <w:spacing w:after="120"/>
      </w:pPr>
      <w:r>
        <w:rPr>
          <w:rFonts w:ascii="Arial" w:cs="Arial" w:eastAsia="Arial" w:hAnsi="Arial"/>
          <w:b w:val="false"/>
          <w:bCs w:val="false"/>
          <w:i w:val="false"/>
          <w:iCs w:val="false"/>
          <w:color w:val="333333"/>
          <w:sz w:val="20"/>
          <w:szCs w:val="20"/>
        </w:rPr>
        <w:t xml:space="preserve"/>
      </w:r>
    </w:p>
    <w:p>
      <w:pPr>
        <w:pStyle w:val="Heading2"/>
        <w:spacing w:after="120" w:before="300"/>
      </w:pPr>
      <w:r>
        <w:rPr>
          <w:rFonts w:ascii="Arial" w:cs="Arial" w:eastAsia="Arial" w:hAnsi="Arial"/>
          <w:b/>
          <w:bCs/>
          <w:color w:val="E31937"/>
          <w:sz w:val="24"/>
          <w:szCs w:val="24"/>
        </w:rPr>
        <w:t xml:space="preserve">EPIC-02  </w:t>
      </w:r>
      <w:r>
        <w:rPr>
          <w:rFonts w:ascii="Arial" w:cs="Arial" w:eastAsia="Arial" w:hAnsi="Arial"/>
          <w:b/>
          <w:bCs/>
          <w:color w:val="1B2A4A"/>
          <w:sz w:val="24"/>
          <w:szCs w:val="24"/>
        </w:rPr>
        <w:t xml:space="preserve">ETL Pipeline &amp; Data Ingestion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none" w:sz="0"/>
              <w:left w:val="none" w:sz="0"/>
              <w:bottom w:val="none" w:sz="0"/>
              <w:right w:val="none" w:sz="0"/>
            </w:tcBorders>
            <w:shd w:fill="F5F5F5"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Phase: </w:t>
            </w:r>
            <w:r>
              <w:rPr>
                <w:rFonts w:ascii="Arial" w:cs="Arial" w:eastAsia="Arial" w:hAnsi="Arial"/>
                <w:color w:val="333333"/>
                <w:sz w:val="17"/>
                <w:szCs w:val="17"/>
              </w:rPr>
              <w:t xml:space="preserve">Phase 0</w:t>
            </w:r>
          </w:p>
        </w:tc>
        <w:tc>
          <w:tcPr>
            <w:tcW w:type="dxa" w:w="2460"/>
            <w:tcBorders>
              <w:top w:val="none" w:sz="0"/>
              <w:left w:val="none" w:sz="0"/>
              <w:bottom w:val="none" w:sz="0"/>
              <w:right w:val="none" w:sz="0"/>
            </w:tcBorders>
            <w:shd w:fill="F5F5F5"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Priority: </w:t>
            </w:r>
            <w:r>
              <w:rPr>
                <w:rFonts w:ascii="Arial" w:cs="Arial" w:eastAsia="Arial" w:hAnsi="Arial"/>
                <w:color w:val="333333"/>
                <w:sz w:val="17"/>
                <w:szCs w:val="17"/>
              </w:rPr>
              <w:t xml:space="preserve">P0</w:t>
            </w:r>
          </w:p>
        </w:tc>
        <w:tc>
          <w:tcPr>
            <w:tcW w:type="dxa" w:w="2460"/>
            <w:tcBorders>
              <w:top w:val="none" w:sz="0"/>
              <w:left w:val="none" w:sz="0"/>
              <w:bottom w:val="none" w:sz="0"/>
              <w:right w:val="none" w:sz="0"/>
            </w:tcBorders>
            <w:shd w:fill="F5F5F5"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Effort: </w:t>
            </w:r>
            <w:r>
              <w:rPr>
                <w:rFonts w:ascii="Arial" w:cs="Arial" w:eastAsia="Arial" w:hAnsi="Arial"/>
                <w:color w:val="333333"/>
                <w:sz w:val="17"/>
                <w:szCs w:val="17"/>
              </w:rPr>
              <w:t xml:space="preserve">2-3 weeks</w:t>
            </w:r>
          </w:p>
        </w:tc>
        <w:tc>
          <w:tcPr>
            <w:tcW w:type="dxa" w:w="2460"/>
            <w:tcBorders>
              <w:top w:val="none" w:sz="0"/>
              <w:left w:val="none" w:sz="0"/>
              <w:bottom w:val="none" w:sz="0"/>
              <w:right w:val="none" w:sz="0"/>
            </w:tcBorders>
            <w:shd w:fill="F5F5F5"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ADRs: </w:t>
            </w:r>
            <w:r>
              <w:rPr>
                <w:rFonts w:ascii="Arial" w:cs="Arial" w:eastAsia="Arial" w:hAnsi="Arial"/>
                <w:color w:val="333333"/>
                <w:sz w:val="17"/>
                <w:szCs w:val="17"/>
              </w:rPr>
              <w:t xml:space="preserve">ADR-001 (Section 5)</w:t>
            </w:r>
          </w:p>
        </w:tc>
      </w:tr>
    </w:tbl>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Build the 10-step ETL pipeline that parses Excel outlook files, classifies the source type from filename pattern, transforms rows to the universal schema, upserts dimensions, bulk-inserts facts, refreshes materialized views, and evaluates alert rules. Includes the admin upload UI, file validation, error handling with quarantine strategy, and historical backfill for all files from 2022 through 2026. This replaces the Python scripts in 2026_Hoshin_Nova (load_outlook_data.py, generate_*.py) with a proper pipeline.</w:t>
      </w:r>
    </w:p>
    <w:p>
      <w:pPr>
        <w:spacing w:after="120"/>
      </w:pPr>
      <w:r>
        <w:rPr>
          <w:rFonts w:ascii="Arial" w:cs="Arial" w:eastAsia="Arial" w:hAnsi="Arial"/>
          <w:b/>
          <w:bCs/>
          <w:color w:val="333333"/>
          <w:sz w:val="20"/>
          <w:szCs w:val="20"/>
        </w:rPr>
        <w:t xml:space="preserve">Depends on: </w:t>
      </w:r>
      <w:r>
        <w:rPr>
          <w:rFonts w:ascii="Arial" w:cs="Arial" w:eastAsia="Arial" w:hAnsi="Arial"/>
          <w:color w:val="333333"/>
          <w:sz w:val="20"/>
          <w:szCs w:val="20"/>
        </w:rPr>
        <w:t xml:space="preserve">EPIC-01</w:t>
      </w:r>
    </w:p>
    <w:p>
      <w:pPr>
        <w:spacing w:after="120"/>
      </w:pPr>
      <w:r>
        <w:rPr>
          <w:rFonts w:ascii="Arial" w:cs="Arial" w:eastAsia="Arial" w:hAnsi="Arial"/>
          <w:b/>
          <w:bCs/>
          <w:color w:val="E31937"/>
          <w:sz w:val="20"/>
          <w:szCs w:val="20"/>
        </w:rPr>
        <w:t xml:space="preserve">Replaces: </w:t>
      </w:r>
      <w:r>
        <w:rPr>
          <w:rFonts w:ascii="Arial" w:cs="Arial" w:eastAsia="Arial" w:hAnsi="Arial"/>
          <w:i/>
          <w:iCs/>
          <w:color w:val="666666"/>
          <w:sz w:val="20"/>
          <w:szCs w:val="20"/>
        </w:rPr>
        <w:t xml:space="preserve">2026_Hoshin_Nova/scripts/load_outlook_data.py</w:t>
      </w:r>
    </w:p>
    <w:p>
      <w:pPr>
        <w:pStyle w:val="Heading3"/>
      </w:pPr>
      <w:r>
        <w:rPr>
          <w:rFonts w:ascii="Arial" w:cs="Arial" w:eastAsia="Arial" w:hAnsi="Arial"/>
          <w:b/>
          <w:bCs/>
          <w:color w:val="555555"/>
          <w:sz w:val="20"/>
          <w:szCs w:val="20"/>
        </w:rPr>
        <w:t xml:space="preserve">Key Deliverables</w:t>
      </w:r>
    </w:p>
    <w:p>
      <w:pPr>
        <w:pStyle w:val="ListParagraph"/>
        <w:numPr>
          <w:ilvl w:val="0"/>
          <w:numId w:val="2"/>
        </w:numPr>
        <w:spacing w:after="60"/>
      </w:pPr>
      <w:r>
        <w:rPr>
          <w:rFonts w:ascii="Arial" w:cs="Arial" w:eastAsia="Arial" w:hAnsi="Arial"/>
          <w:color w:val="333333"/>
          <w:sz w:val="19"/>
          <w:szCs w:val="19"/>
        </w:rPr>
        <w:t xml:space="preserve">Excel parser (openpyxl/SheetJS) with schema validation</w:t>
      </w:r>
    </w:p>
    <w:p>
      <w:pPr>
        <w:pStyle w:val="ListParagraph"/>
        <w:numPr>
          <w:ilvl w:val="0"/>
          <w:numId w:val="2"/>
        </w:numPr>
        <w:spacing w:after="60"/>
      </w:pPr>
      <w:r>
        <w:rPr>
          <w:rFonts w:ascii="Arial" w:cs="Arial" w:eastAsia="Arial" w:hAnsi="Arial"/>
          <w:color w:val="333333"/>
          <w:sz w:val="19"/>
          <w:szCs w:val="19"/>
        </w:rPr>
        <w:t xml:space="preserve">Source type classifier from filename</w:t>
      </w:r>
    </w:p>
    <w:p>
      <w:pPr>
        <w:pStyle w:val="ListParagraph"/>
        <w:numPr>
          <w:ilvl w:val="0"/>
          <w:numId w:val="2"/>
        </w:numPr>
        <w:spacing w:after="60"/>
      </w:pPr>
      <w:r>
        <w:rPr>
          <w:rFonts w:ascii="Arial" w:cs="Arial" w:eastAsia="Arial" w:hAnsi="Arial"/>
          <w:color w:val="333333"/>
          <w:sz w:val="19"/>
          <w:szCs w:val="19"/>
        </w:rPr>
        <w:t xml:space="preserve">Dimension upsert logic (SCD Type 1)</w:t>
      </w:r>
    </w:p>
    <w:p>
      <w:pPr>
        <w:pStyle w:val="ListParagraph"/>
        <w:numPr>
          <w:ilvl w:val="0"/>
          <w:numId w:val="2"/>
        </w:numPr>
        <w:spacing w:after="60"/>
      </w:pPr>
      <w:r>
        <w:rPr>
          <w:rFonts w:ascii="Arial" w:cs="Arial" w:eastAsia="Arial" w:hAnsi="Arial"/>
          <w:color w:val="333333"/>
          <w:sz w:val="19"/>
          <w:szCs w:val="19"/>
        </w:rPr>
        <w:t xml:space="preserve">Bulk fact insertion with conflict handling</w:t>
      </w:r>
    </w:p>
    <w:p>
      <w:pPr>
        <w:pStyle w:val="ListParagraph"/>
        <w:numPr>
          <w:ilvl w:val="0"/>
          <w:numId w:val="2"/>
        </w:numPr>
        <w:spacing w:after="60"/>
      </w:pPr>
      <w:r>
        <w:rPr>
          <w:rFonts w:ascii="Arial" w:cs="Arial" w:eastAsia="Arial" w:hAnsi="Arial"/>
          <w:color w:val="333333"/>
          <w:sz w:val="19"/>
          <w:szCs w:val="19"/>
        </w:rPr>
        <w:t xml:space="preserve">Admin upload page with drag-and-drop</w:t>
      </w:r>
    </w:p>
    <w:p>
      <w:pPr>
        <w:pStyle w:val="ListParagraph"/>
        <w:numPr>
          <w:ilvl w:val="0"/>
          <w:numId w:val="2"/>
        </w:numPr>
        <w:spacing w:after="60"/>
      </w:pPr>
      <w:r>
        <w:rPr>
          <w:rFonts w:ascii="Arial" w:cs="Arial" w:eastAsia="Arial" w:hAnsi="Arial"/>
          <w:color w:val="333333"/>
          <w:sz w:val="19"/>
          <w:szCs w:val="19"/>
        </w:rPr>
        <w:t xml:space="preserve">Historical backfill orchestrator</w:t>
      </w:r>
    </w:p>
    <w:p>
      <w:pPr>
        <w:pStyle w:val="ListParagraph"/>
        <w:numPr>
          <w:ilvl w:val="0"/>
          <w:numId w:val="2"/>
        </w:numPr>
        <w:spacing w:after="60"/>
      </w:pPr>
      <w:r>
        <w:rPr>
          <w:rFonts w:ascii="Arial" w:cs="Arial" w:eastAsia="Arial" w:hAnsi="Arial"/>
          <w:color w:val="333333"/>
          <w:sz w:val="19"/>
          <w:szCs w:val="19"/>
        </w:rPr>
        <w:t xml:space="preserve">Error quarantine and retry mechanism</w:t>
      </w:r>
    </w:p>
    <w:p>
      <w:pPr>
        <w:pStyle w:val="ListParagraph"/>
        <w:numPr>
          <w:ilvl w:val="0"/>
          <w:numId w:val="2"/>
        </w:numPr>
        <w:spacing w:after="60"/>
      </w:pPr>
      <w:r>
        <w:rPr>
          <w:rFonts w:ascii="Arial" w:cs="Arial" w:eastAsia="Arial" w:hAnsi="Arial"/>
          <w:color w:val="333333"/>
          <w:sz w:val="19"/>
          <w:szCs w:val="19"/>
        </w:rPr>
        <w:t xml:space="preserve">Automated materialized view refresh</w:t>
      </w:r>
    </w:p>
    <w:p>
      <w:pPr>
        <w:spacing w:after="120"/>
      </w:pPr>
      <w:r>
        <w:rPr>
          <w:rFonts w:ascii="Arial" w:cs="Arial" w:eastAsia="Arial" w:hAnsi="Arial"/>
          <w:b w:val="false"/>
          <w:bCs w:val="false"/>
          <w:i w:val="false"/>
          <w:iCs w:val="false"/>
          <w:color w:val="333333"/>
          <w:sz w:val="20"/>
          <w:szCs w:val="20"/>
        </w:rPr>
        <w:t xml:space="preserve"/>
      </w:r>
    </w:p>
    <w:p>
      <w:pPr>
        <w:pStyle w:val="Heading2"/>
        <w:spacing w:after="120" w:before="300"/>
      </w:pPr>
      <w:r>
        <w:rPr>
          <w:rFonts w:ascii="Arial" w:cs="Arial" w:eastAsia="Arial" w:hAnsi="Arial"/>
          <w:b/>
          <w:bCs/>
          <w:color w:val="E31937"/>
          <w:sz w:val="24"/>
          <w:szCs w:val="24"/>
        </w:rPr>
        <w:t xml:space="preserve">EPIC-03  </w:t>
      </w:r>
      <w:r>
        <w:rPr>
          <w:rFonts w:ascii="Arial" w:cs="Arial" w:eastAsia="Arial" w:hAnsi="Arial"/>
          <w:b/>
          <w:bCs/>
          <w:color w:val="1B2A4A"/>
          <w:sz w:val="24"/>
          <w:szCs w:val="24"/>
        </w:rPr>
        <w:t xml:space="preserve">Application Shell &amp; Navigation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none" w:sz="0"/>
              <w:left w:val="none" w:sz="0"/>
              <w:bottom w:val="none" w:sz="0"/>
              <w:right w:val="none" w:sz="0"/>
            </w:tcBorders>
            <w:shd w:fill="E8F0FE"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Phase: </w:t>
            </w:r>
            <w:r>
              <w:rPr>
                <w:rFonts w:ascii="Arial" w:cs="Arial" w:eastAsia="Arial" w:hAnsi="Arial"/>
                <w:color w:val="333333"/>
                <w:sz w:val="17"/>
                <w:szCs w:val="17"/>
              </w:rPr>
              <w:t xml:space="preserve">Phase 1</w:t>
            </w:r>
          </w:p>
        </w:tc>
        <w:tc>
          <w:tcPr>
            <w:tcW w:type="dxa" w:w="2460"/>
            <w:tcBorders>
              <w:top w:val="none" w:sz="0"/>
              <w:left w:val="none" w:sz="0"/>
              <w:bottom w:val="none" w:sz="0"/>
              <w:right w:val="none" w:sz="0"/>
            </w:tcBorders>
            <w:shd w:fill="E8F0FE"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Priority: </w:t>
            </w:r>
            <w:r>
              <w:rPr>
                <w:rFonts w:ascii="Arial" w:cs="Arial" w:eastAsia="Arial" w:hAnsi="Arial"/>
                <w:color w:val="333333"/>
                <w:sz w:val="17"/>
                <w:szCs w:val="17"/>
              </w:rPr>
              <w:t xml:space="preserve">P0</w:t>
            </w:r>
          </w:p>
        </w:tc>
        <w:tc>
          <w:tcPr>
            <w:tcW w:type="dxa" w:w="2460"/>
            <w:tcBorders>
              <w:top w:val="none" w:sz="0"/>
              <w:left w:val="none" w:sz="0"/>
              <w:bottom w:val="none" w:sz="0"/>
              <w:right w:val="none" w:sz="0"/>
            </w:tcBorders>
            <w:shd w:fill="E8F0FE"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Effort: </w:t>
            </w:r>
            <w:r>
              <w:rPr>
                <w:rFonts w:ascii="Arial" w:cs="Arial" w:eastAsia="Arial" w:hAnsi="Arial"/>
                <w:color w:val="333333"/>
                <w:sz w:val="17"/>
                <w:szCs w:val="17"/>
              </w:rPr>
              <w:t xml:space="preserve">1-2 weeks</w:t>
            </w:r>
          </w:p>
        </w:tc>
        <w:tc>
          <w:tcPr>
            <w:tcW w:type="dxa" w:w="2460"/>
            <w:tcBorders>
              <w:top w:val="none" w:sz="0"/>
              <w:left w:val="none" w:sz="0"/>
              <w:bottom w:val="none" w:sz="0"/>
              <w:right w:val="none" w:sz="0"/>
            </w:tcBorders>
            <w:shd w:fill="E8F0FE"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ADRs: </w:t>
            </w:r>
            <w:r>
              <w:rPr>
                <w:rFonts w:ascii="Arial" w:cs="Arial" w:eastAsia="Arial" w:hAnsi="Arial"/>
                <w:color w:val="333333"/>
                <w:sz w:val="17"/>
                <w:szCs w:val="17"/>
              </w:rPr>
              <w:t xml:space="preserve">ADR-001</w:t>
            </w:r>
          </w:p>
        </w:tc>
      </w:tr>
    </w:tbl>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Build the Next.js 14 application shell with App Router, the global navigation sidebar, theme system (dark/light), global filter bar (Region, Alliance, Growth Unit, Client, Period, Outlook Version), and the responsive layout system. This consolidates the navigation work already done in ProfileBook (Iteration 1) with the dashboard shell from portfolio-mgm-cockpit into a single unified application. Includes authentication scaffolding for future SSO integration.</w:t>
      </w:r>
    </w:p>
    <w:p>
      <w:pPr>
        <w:spacing w:after="120"/>
      </w:pPr>
      <w:r>
        <w:rPr>
          <w:rFonts w:ascii="Arial" w:cs="Arial" w:eastAsia="Arial" w:hAnsi="Arial"/>
          <w:b/>
          <w:bCs/>
          <w:color w:val="333333"/>
          <w:sz w:val="20"/>
          <w:szCs w:val="20"/>
        </w:rPr>
        <w:t xml:space="preserve">Depends on: </w:t>
      </w:r>
      <w:r>
        <w:rPr>
          <w:rFonts w:ascii="Arial" w:cs="Arial" w:eastAsia="Arial" w:hAnsi="Arial"/>
          <w:color w:val="333333"/>
          <w:sz w:val="20"/>
          <w:szCs w:val="20"/>
        </w:rPr>
        <w:t xml:space="preserve">EPIC-00</w:t>
      </w:r>
    </w:p>
    <w:p>
      <w:pPr>
        <w:spacing w:after="120"/>
      </w:pPr>
      <w:r>
        <w:rPr>
          <w:rFonts w:ascii="Arial" w:cs="Arial" w:eastAsia="Arial" w:hAnsi="Arial"/>
          <w:b/>
          <w:bCs/>
          <w:color w:val="E31937"/>
          <w:sz w:val="20"/>
          <w:szCs w:val="20"/>
        </w:rPr>
        <w:t xml:space="preserve">Replaces: </w:t>
      </w:r>
      <w:r>
        <w:rPr>
          <w:rFonts w:ascii="Arial" w:cs="Arial" w:eastAsia="Arial" w:hAnsi="Arial"/>
          <w:i/>
          <w:iCs/>
          <w:color w:val="666666"/>
          <w:sz w:val="20"/>
          <w:szCs w:val="20"/>
        </w:rPr>
        <w:t xml:space="preserve">ProfileBook Iteration 1 (NAVI-001, SRCH-001, FLTR-001), portfolio-mgm-cockpit shell</w:t>
      </w:r>
    </w:p>
    <w:p>
      <w:pPr>
        <w:pStyle w:val="Heading3"/>
      </w:pPr>
      <w:r>
        <w:rPr>
          <w:rFonts w:ascii="Arial" w:cs="Arial" w:eastAsia="Arial" w:hAnsi="Arial"/>
          <w:b/>
          <w:bCs/>
          <w:color w:val="555555"/>
          <w:sz w:val="20"/>
          <w:szCs w:val="20"/>
        </w:rPr>
        <w:t xml:space="preserve">Key Deliverables</w:t>
      </w:r>
    </w:p>
    <w:p>
      <w:pPr>
        <w:pStyle w:val="ListParagraph"/>
        <w:numPr>
          <w:ilvl w:val="0"/>
          <w:numId w:val="2"/>
        </w:numPr>
        <w:spacing w:after="60"/>
      </w:pPr>
      <w:r>
        <w:rPr>
          <w:rFonts w:ascii="Arial" w:cs="Arial" w:eastAsia="Arial" w:hAnsi="Arial"/>
          <w:color w:val="333333"/>
          <w:sz w:val="19"/>
          <w:szCs w:val="19"/>
        </w:rPr>
        <w:t xml:space="preserve">Next.js 14 App Router with TypeScript</w:t>
      </w:r>
    </w:p>
    <w:p>
      <w:pPr>
        <w:pStyle w:val="ListParagraph"/>
        <w:numPr>
          <w:ilvl w:val="0"/>
          <w:numId w:val="2"/>
        </w:numPr>
        <w:spacing w:after="60"/>
      </w:pPr>
      <w:r>
        <w:rPr>
          <w:rFonts w:ascii="Arial" w:cs="Arial" w:eastAsia="Arial" w:hAnsi="Arial"/>
          <w:color w:val="333333"/>
          <w:sz w:val="19"/>
          <w:szCs w:val="19"/>
        </w:rPr>
        <w:t xml:space="preserve">Global sidebar navigation (all pages)</w:t>
      </w:r>
    </w:p>
    <w:p>
      <w:pPr>
        <w:pStyle w:val="ListParagraph"/>
        <w:numPr>
          <w:ilvl w:val="0"/>
          <w:numId w:val="2"/>
        </w:numPr>
        <w:spacing w:after="60"/>
      </w:pPr>
      <w:r>
        <w:rPr>
          <w:rFonts w:ascii="Arial" w:cs="Arial" w:eastAsia="Arial" w:hAnsi="Arial"/>
          <w:color w:val="333333"/>
          <w:sz w:val="19"/>
          <w:szCs w:val="19"/>
        </w:rPr>
        <w:t xml:space="preserve">Global filter bar with persistence</w:t>
      </w:r>
    </w:p>
    <w:p>
      <w:pPr>
        <w:pStyle w:val="ListParagraph"/>
        <w:numPr>
          <w:ilvl w:val="0"/>
          <w:numId w:val="2"/>
        </w:numPr>
        <w:spacing w:after="60"/>
      </w:pPr>
      <w:r>
        <w:rPr>
          <w:rFonts w:ascii="Arial" w:cs="Arial" w:eastAsia="Arial" w:hAnsi="Arial"/>
          <w:color w:val="333333"/>
          <w:sz w:val="19"/>
          <w:szCs w:val="19"/>
        </w:rPr>
        <w:t xml:space="preserve">Dark/light theme system</w:t>
      </w:r>
    </w:p>
    <w:p>
      <w:pPr>
        <w:pStyle w:val="ListParagraph"/>
        <w:numPr>
          <w:ilvl w:val="0"/>
          <w:numId w:val="2"/>
        </w:numPr>
        <w:spacing w:after="60"/>
      </w:pPr>
      <w:r>
        <w:rPr>
          <w:rFonts w:ascii="Arial" w:cs="Arial" w:eastAsia="Arial" w:hAnsi="Arial"/>
          <w:color w:val="333333"/>
          <w:sz w:val="19"/>
          <w:szCs w:val="19"/>
        </w:rPr>
        <w:t xml:space="preserve">Responsive layout (desktop + tablet)</w:t>
      </w:r>
    </w:p>
    <w:p>
      <w:pPr>
        <w:pStyle w:val="ListParagraph"/>
        <w:numPr>
          <w:ilvl w:val="0"/>
          <w:numId w:val="2"/>
        </w:numPr>
        <w:spacing w:after="60"/>
      </w:pPr>
      <w:r>
        <w:rPr>
          <w:rFonts w:ascii="Arial" w:cs="Arial" w:eastAsia="Arial" w:hAnsi="Arial"/>
          <w:color w:val="333333"/>
          <w:sz w:val="19"/>
          <w:szCs w:val="19"/>
        </w:rPr>
        <w:t xml:space="preserve">Authentication placeholder (SSO-ready)</w:t>
      </w:r>
    </w:p>
    <w:p>
      <w:pPr>
        <w:pStyle w:val="ListParagraph"/>
        <w:numPr>
          <w:ilvl w:val="0"/>
          <w:numId w:val="2"/>
        </w:numPr>
        <w:spacing w:after="60"/>
      </w:pPr>
      <w:r>
        <w:rPr>
          <w:rFonts w:ascii="Arial" w:cs="Arial" w:eastAsia="Arial" w:hAnsi="Arial"/>
          <w:color w:val="333333"/>
          <w:sz w:val="19"/>
          <w:szCs w:val="19"/>
        </w:rPr>
        <w:t xml:space="preserve">Shared UI component library (shadcn/ui + Radix)</w:t>
      </w:r>
    </w:p>
    <w:p>
      <w:pPr>
        <w:spacing w:after="120"/>
      </w:pPr>
      <w:r>
        <w:rPr>
          <w:rFonts w:ascii="Arial" w:cs="Arial" w:eastAsia="Arial" w:hAnsi="Arial"/>
          <w:b w:val="false"/>
          <w:bCs w:val="false"/>
          <w:i w:val="false"/>
          <w:iCs w:val="false"/>
          <w:color w:val="333333"/>
          <w:sz w:val="20"/>
          <w:szCs w:val="20"/>
        </w:rPr>
        <w:t xml:space="preserve"/>
      </w:r>
    </w:p>
    <w:p>
      <w:pPr>
        <w:pStyle w:val="Heading2"/>
        <w:spacing w:after="120" w:before="300"/>
      </w:pPr>
      <w:r>
        <w:rPr>
          <w:rFonts w:ascii="Arial" w:cs="Arial" w:eastAsia="Arial" w:hAnsi="Arial"/>
          <w:b/>
          <w:bCs/>
          <w:color w:val="E31937"/>
          <w:sz w:val="24"/>
          <w:szCs w:val="24"/>
        </w:rPr>
        <w:t xml:space="preserve">EPIC-04  </w:t>
      </w:r>
      <w:r>
        <w:rPr>
          <w:rFonts w:ascii="Arial" w:cs="Arial" w:eastAsia="Arial" w:hAnsi="Arial"/>
          <w:b/>
          <w:bCs/>
          <w:color w:val="1B2A4A"/>
          <w:sz w:val="24"/>
          <w:szCs w:val="24"/>
        </w:rPr>
        <w:t xml:space="preserve">Financial Overview Dashboard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none" w:sz="0"/>
              <w:left w:val="none" w:sz="0"/>
              <w:bottom w:val="none" w:sz="0"/>
              <w:right w:val="none" w:sz="0"/>
            </w:tcBorders>
            <w:shd w:fill="E8F0FE"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Phase: </w:t>
            </w:r>
            <w:r>
              <w:rPr>
                <w:rFonts w:ascii="Arial" w:cs="Arial" w:eastAsia="Arial" w:hAnsi="Arial"/>
                <w:color w:val="333333"/>
                <w:sz w:val="17"/>
                <w:szCs w:val="17"/>
              </w:rPr>
              <w:t xml:space="preserve">Phase 1</w:t>
            </w:r>
          </w:p>
        </w:tc>
        <w:tc>
          <w:tcPr>
            <w:tcW w:type="dxa" w:w="2460"/>
            <w:tcBorders>
              <w:top w:val="none" w:sz="0"/>
              <w:left w:val="none" w:sz="0"/>
              <w:bottom w:val="none" w:sz="0"/>
              <w:right w:val="none" w:sz="0"/>
            </w:tcBorders>
            <w:shd w:fill="E8F0FE"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Priority: </w:t>
            </w:r>
            <w:r>
              <w:rPr>
                <w:rFonts w:ascii="Arial" w:cs="Arial" w:eastAsia="Arial" w:hAnsi="Arial"/>
                <w:color w:val="333333"/>
                <w:sz w:val="17"/>
                <w:szCs w:val="17"/>
              </w:rPr>
              <w:t xml:space="preserve">P0</w:t>
            </w:r>
          </w:p>
        </w:tc>
        <w:tc>
          <w:tcPr>
            <w:tcW w:type="dxa" w:w="2460"/>
            <w:tcBorders>
              <w:top w:val="none" w:sz="0"/>
              <w:left w:val="none" w:sz="0"/>
              <w:bottom w:val="none" w:sz="0"/>
              <w:right w:val="none" w:sz="0"/>
            </w:tcBorders>
            <w:shd w:fill="E8F0FE"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Effort: </w:t>
            </w:r>
            <w:r>
              <w:rPr>
                <w:rFonts w:ascii="Arial" w:cs="Arial" w:eastAsia="Arial" w:hAnsi="Arial"/>
                <w:color w:val="333333"/>
                <w:sz w:val="17"/>
                <w:szCs w:val="17"/>
              </w:rPr>
              <w:t xml:space="preserve">2-3 weeks</w:t>
            </w:r>
          </w:p>
        </w:tc>
        <w:tc>
          <w:tcPr>
            <w:tcW w:type="dxa" w:w="2460"/>
            <w:tcBorders>
              <w:top w:val="none" w:sz="0"/>
              <w:left w:val="none" w:sz="0"/>
              <w:bottom w:val="none" w:sz="0"/>
              <w:right w:val="none" w:sz="0"/>
            </w:tcBorders>
            <w:shd w:fill="E8F0FE"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ADRs: </w:t>
            </w:r>
            <w:r>
              <w:rPr>
                <w:rFonts w:ascii="Arial" w:cs="Arial" w:eastAsia="Arial" w:hAnsi="Arial"/>
                <w:color w:val="333333"/>
                <w:sz w:val="17"/>
                <w:szCs w:val="17"/>
              </w:rPr>
              <w:t xml:space="preserve">ADR-001</w:t>
            </w:r>
          </w:p>
        </w:tc>
      </w:tr>
    </w:tbl>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The landing page. Replaces the main Power BI dashboard showing KPI summary cards (Gross Revenue, Net Revenue, Total Costs, Contribution Profit, CM%, P/C, UR%, NQC%), quarterly stacked bar chart with revenue status breakdown (Signed Contract, Contract Renewal, Expand) overlaid with Contribution Margin and UR trend lines, and a monthly sparkline row. Pulls from mv_monthly_gu_summary. This is the view Daniel opens every morning.</w:t>
      </w:r>
    </w:p>
    <w:p>
      <w:pPr>
        <w:spacing w:after="120"/>
      </w:pPr>
      <w:r>
        <w:rPr>
          <w:rFonts w:ascii="Arial" w:cs="Arial" w:eastAsia="Arial" w:hAnsi="Arial"/>
          <w:b/>
          <w:bCs/>
          <w:color w:val="333333"/>
          <w:sz w:val="20"/>
          <w:szCs w:val="20"/>
        </w:rPr>
        <w:t xml:space="preserve">Depends on: </w:t>
      </w:r>
      <w:r>
        <w:rPr>
          <w:rFonts w:ascii="Arial" w:cs="Arial" w:eastAsia="Arial" w:hAnsi="Arial"/>
          <w:color w:val="333333"/>
          <w:sz w:val="20"/>
          <w:szCs w:val="20"/>
        </w:rPr>
        <w:t xml:space="preserve">EPIC-02, EPIC-03</w:t>
      </w:r>
    </w:p>
    <w:p>
      <w:pPr>
        <w:spacing w:after="120"/>
      </w:pPr>
      <w:r>
        <w:rPr>
          <w:rFonts w:ascii="Arial" w:cs="Arial" w:eastAsia="Arial" w:hAnsi="Arial"/>
          <w:b/>
          <w:bCs/>
          <w:color w:val="E31937"/>
          <w:sz w:val="20"/>
          <w:szCs w:val="20"/>
        </w:rPr>
        <w:t xml:space="preserve">Replaces: </w:t>
      </w:r>
      <w:r>
        <w:rPr>
          <w:rFonts w:ascii="Arial" w:cs="Arial" w:eastAsia="Arial" w:hAnsi="Arial"/>
          <w:i/>
          <w:iCs/>
          <w:color w:val="666666"/>
          <w:sz w:val="20"/>
          <w:szCs w:val="20"/>
        </w:rPr>
        <w:t xml:space="preserve">Power BI main dashboard (the quarterly stacked bar chart view)</w:t>
      </w:r>
    </w:p>
    <w:p>
      <w:pPr>
        <w:pStyle w:val="Heading3"/>
      </w:pPr>
      <w:r>
        <w:rPr>
          <w:rFonts w:ascii="Arial" w:cs="Arial" w:eastAsia="Arial" w:hAnsi="Arial"/>
          <w:b/>
          <w:bCs/>
          <w:color w:val="555555"/>
          <w:sz w:val="20"/>
          <w:szCs w:val="20"/>
        </w:rPr>
        <w:t xml:space="preserve">Key Deliverables</w:t>
      </w:r>
    </w:p>
    <w:p>
      <w:pPr>
        <w:pStyle w:val="ListParagraph"/>
        <w:numPr>
          <w:ilvl w:val="0"/>
          <w:numId w:val="2"/>
        </w:numPr>
        <w:spacing w:after="60"/>
      </w:pPr>
      <w:r>
        <w:rPr>
          <w:rFonts w:ascii="Arial" w:cs="Arial" w:eastAsia="Arial" w:hAnsi="Arial"/>
          <w:color w:val="333333"/>
          <w:sz w:val="19"/>
          <w:szCs w:val="19"/>
        </w:rPr>
        <w:t xml:space="preserve">8 KPI summary cards with trend indicators</w:t>
      </w:r>
    </w:p>
    <w:p>
      <w:pPr>
        <w:pStyle w:val="ListParagraph"/>
        <w:numPr>
          <w:ilvl w:val="0"/>
          <w:numId w:val="2"/>
        </w:numPr>
        <w:spacing w:after="60"/>
      </w:pPr>
      <w:r>
        <w:rPr>
          <w:rFonts w:ascii="Arial" w:cs="Arial" w:eastAsia="Arial" w:hAnsi="Arial"/>
          <w:color w:val="333333"/>
          <w:sz w:val="19"/>
          <w:szCs w:val="19"/>
        </w:rPr>
        <w:t xml:space="preserve">Quarterly revenue waterfall chart (stacked by status)</w:t>
      </w:r>
    </w:p>
    <w:p>
      <w:pPr>
        <w:pStyle w:val="ListParagraph"/>
        <w:numPr>
          <w:ilvl w:val="0"/>
          <w:numId w:val="2"/>
        </w:numPr>
        <w:spacing w:after="60"/>
      </w:pPr>
      <w:r>
        <w:rPr>
          <w:rFonts w:ascii="Arial" w:cs="Arial" w:eastAsia="Arial" w:hAnsi="Arial"/>
          <w:color w:val="333333"/>
          <w:sz w:val="19"/>
          <w:szCs w:val="19"/>
        </w:rPr>
        <w:t xml:space="preserve">CM% and UR% trend overlay lines</w:t>
      </w:r>
    </w:p>
    <w:p>
      <w:pPr>
        <w:pStyle w:val="ListParagraph"/>
        <w:numPr>
          <w:ilvl w:val="0"/>
          <w:numId w:val="2"/>
        </w:numPr>
        <w:spacing w:after="60"/>
      </w:pPr>
      <w:r>
        <w:rPr>
          <w:rFonts w:ascii="Arial" w:cs="Arial" w:eastAsia="Arial" w:hAnsi="Arial"/>
          <w:color w:val="333333"/>
          <w:sz w:val="19"/>
          <w:szCs w:val="19"/>
        </w:rPr>
        <w:t xml:space="preserve">Monthly sparkline row for each KPI</w:t>
      </w:r>
    </w:p>
    <w:p>
      <w:pPr>
        <w:pStyle w:val="ListParagraph"/>
        <w:numPr>
          <w:ilvl w:val="0"/>
          <w:numId w:val="2"/>
        </w:numPr>
        <w:spacing w:after="60"/>
      </w:pPr>
      <w:r>
        <w:rPr>
          <w:rFonts w:ascii="Arial" w:cs="Arial" w:eastAsia="Arial" w:hAnsi="Arial"/>
          <w:color w:val="333333"/>
          <w:sz w:val="19"/>
          <w:szCs w:val="19"/>
        </w:rPr>
        <w:t xml:space="preserve">Period comparison (current vs. prior year vs. budget)</w:t>
      </w:r>
    </w:p>
    <w:p>
      <w:pPr>
        <w:pStyle w:val="ListParagraph"/>
        <w:numPr>
          <w:ilvl w:val="0"/>
          <w:numId w:val="2"/>
        </w:numPr>
        <w:spacing w:after="60"/>
      </w:pPr>
      <w:r>
        <w:rPr>
          <w:rFonts w:ascii="Arial" w:cs="Arial" w:eastAsia="Arial" w:hAnsi="Arial"/>
          <w:color w:val="333333"/>
          <w:sz w:val="19"/>
          <w:szCs w:val="19"/>
        </w:rPr>
        <w:t xml:space="preserve">Drill-through to client detail</w:t>
      </w:r>
    </w:p>
    <w:p>
      <w:pPr>
        <w:pStyle w:val="ListParagraph"/>
        <w:numPr>
          <w:ilvl w:val="0"/>
          <w:numId w:val="2"/>
        </w:numPr>
        <w:spacing w:after="60"/>
      </w:pPr>
      <w:r>
        <w:rPr>
          <w:rFonts w:ascii="Arial" w:cs="Arial" w:eastAsia="Arial" w:hAnsi="Arial"/>
          <w:color w:val="333333"/>
          <w:sz w:val="19"/>
          <w:szCs w:val="19"/>
        </w:rPr>
        <w:t xml:space="preserve">Export to PDF/Excel</w:t>
      </w:r>
    </w:p>
    <w:p>
      <w:pPr>
        <w:spacing w:after="120"/>
      </w:pPr>
      <w:r>
        <w:rPr>
          <w:rFonts w:ascii="Arial" w:cs="Arial" w:eastAsia="Arial" w:hAnsi="Arial"/>
          <w:b w:val="false"/>
          <w:bCs w:val="false"/>
          <w:i w:val="false"/>
          <w:iCs w:val="false"/>
          <w:color w:val="333333"/>
          <w:sz w:val="20"/>
          <w:szCs w:val="20"/>
        </w:rPr>
        <w:t xml:space="preserve"/>
      </w:r>
    </w:p>
    <w:p>
      <w:pPr>
        <w:pStyle w:val="Heading2"/>
        <w:spacing w:after="120" w:before="300"/>
      </w:pPr>
      <w:r>
        <w:rPr>
          <w:rFonts w:ascii="Arial" w:cs="Arial" w:eastAsia="Arial" w:hAnsi="Arial"/>
          <w:b/>
          <w:bCs/>
          <w:color w:val="E31937"/>
          <w:sz w:val="24"/>
          <w:szCs w:val="24"/>
        </w:rPr>
        <w:t xml:space="preserve">EPIC-05  </w:t>
      </w:r>
      <w:r>
        <w:rPr>
          <w:rFonts w:ascii="Arial" w:cs="Arial" w:eastAsia="Arial" w:hAnsi="Arial"/>
          <w:b/>
          <w:bCs/>
          <w:color w:val="1B2A4A"/>
          <w:sz w:val="24"/>
          <w:szCs w:val="24"/>
        </w:rPr>
        <w:t xml:space="preserve">Client Portfolio &amp; Scorecards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none" w:sz="0"/>
              <w:left w:val="none" w:sz="0"/>
              <w:bottom w:val="none" w:sz="0"/>
              <w:right w:val="none" w:sz="0"/>
            </w:tcBorders>
            <w:shd w:fill="E8F0FE"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Phase: </w:t>
            </w:r>
            <w:r>
              <w:rPr>
                <w:rFonts w:ascii="Arial" w:cs="Arial" w:eastAsia="Arial" w:hAnsi="Arial"/>
                <w:color w:val="333333"/>
                <w:sz w:val="17"/>
                <w:szCs w:val="17"/>
              </w:rPr>
              <w:t xml:space="preserve">Phase 1</w:t>
            </w:r>
          </w:p>
        </w:tc>
        <w:tc>
          <w:tcPr>
            <w:tcW w:type="dxa" w:w="2460"/>
            <w:tcBorders>
              <w:top w:val="none" w:sz="0"/>
              <w:left w:val="none" w:sz="0"/>
              <w:bottom w:val="none" w:sz="0"/>
              <w:right w:val="none" w:sz="0"/>
            </w:tcBorders>
            <w:shd w:fill="E8F0FE"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Priority: </w:t>
            </w:r>
            <w:r>
              <w:rPr>
                <w:rFonts w:ascii="Arial" w:cs="Arial" w:eastAsia="Arial" w:hAnsi="Arial"/>
                <w:color w:val="333333"/>
                <w:sz w:val="17"/>
                <w:szCs w:val="17"/>
              </w:rPr>
              <w:t xml:space="preserve">P0</w:t>
            </w:r>
          </w:p>
        </w:tc>
        <w:tc>
          <w:tcPr>
            <w:tcW w:type="dxa" w:w="2460"/>
            <w:tcBorders>
              <w:top w:val="none" w:sz="0"/>
              <w:left w:val="none" w:sz="0"/>
              <w:bottom w:val="none" w:sz="0"/>
              <w:right w:val="none" w:sz="0"/>
            </w:tcBorders>
            <w:shd w:fill="E8F0FE"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Effort: </w:t>
            </w:r>
            <w:r>
              <w:rPr>
                <w:rFonts w:ascii="Arial" w:cs="Arial" w:eastAsia="Arial" w:hAnsi="Arial"/>
                <w:color w:val="333333"/>
                <w:sz w:val="17"/>
                <w:szCs w:val="17"/>
              </w:rPr>
              <w:t xml:space="preserve">2-3 weeks</w:t>
            </w:r>
          </w:p>
        </w:tc>
        <w:tc>
          <w:tcPr>
            <w:tcW w:type="dxa" w:w="2460"/>
            <w:tcBorders>
              <w:top w:val="none" w:sz="0"/>
              <w:left w:val="none" w:sz="0"/>
              <w:bottom w:val="none" w:sz="0"/>
              <w:right w:val="none" w:sz="0"/>
            </w:tcBorders>
            <w:shd w:fill="E8F0FE"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ADRs: </w:t>
            </w:r>
            <w:r>
              <w:rPr>
                <w:rFonts w:ascii="Arial" w:cs="Arial" w:eastAsia="Arial" w:hAnsi="Arial"/>
                <w:color w:val="333333"/>
                <w:sz w:val="17"/>
                <w:szCs w:val="17"/>
              </w:rPr>
              <w:t xml:space="preserve">ADR-001</w:t>
            </w:r>
          </w:p>
        </w:tc>
      </w:tr>
    </w:tbl>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Grid of client scorecard cards showing each client's Gross Revenue, Net Revenue, CM%, P/C, Travel Costs, IT Costs, Non-Billable Costs, Overtime, and Idle. Each card is clickable to expand into a detailed client view with monthly pivot table, cost breakdown, FTE allocation by person (login, value, allocation percentage, allocation type: billed/operations/not billed/investment), and contract LOB details. This directly implements the wireframes you drew and replaces the Power BI client comparison tables.</w:t>
      </w:r>
    </w:p>
    <w:p>
      <w:pPr>
        <w:spacing w:after="120"/>
      </w:pPr>
      <w:r>
        <w:rPr>
          <w:rFonts w:ascii="Arial" w:cs="Arial" w:eastAsia="Arial" w:hAnsi="Arial"/>
          <w:b/>
          <w:bCs/>
          <w:color w:val="333333"/>
          <w:sz w:val="20"/>
          <w:szCs w:val="20"/>
        </w:rPr>
        <w:t xml:space="preserve">Depends on: </w:t>
      </w:r>
      <w:r>
        <w:rPr>
          <w:rFonts w:ascii="Arial" w:cs="Arial" w:eastAsia="Arial" w:hAnsi="Arial"/>
          <w:color w:val="333333"/>
          <w:sz w:val="20"/>
          <w:szCs w:val="20"/>
        </w:rPr>
        <w:t xml:space="preserve">EPIC-02, EPIC-03</w:t>
      </w:r>
    </w:p>
    <w:p>
      <w:pPr>
        <w:spacing w:after="120"/>
      </w:pPr>
      <w:r>
        <w:rPr>
          <w:rFonts w:ascii="Arial" w:cs="Arial" w:eastAsia="Arial" w:hAnsi="Arial"/>
          <w:b/>
          <w:bCs/>
          <w:color w:val="E31937"/>
          <w:sz w:val="20"/>
          <w:szCs w:val="20"/>
        </w:rPr>
        <w:t xml:space="preserve">Replaces: </w:t>
      </w:r>
      <w:r>
        <w:rPr>
          <w:rFonts w:ascii="Arial" w:cs="Arial" w:eastAsia="Arial" w:hAnsi="Arial"/>
          <w:i/>
          <w:iCs/>
          <w:color w:val="666666"/>
          <w:sz w:val="20"/>
          <w:szCs w:val="20"/>
        </w:rPr>
        <w:t xml:space="preserve">Power BI client tables, portfolio-mgm-cockpit/vO client-scorecard &amp; client-detail-view components</w:t>
      </w:r>
    </w:p>
    <w:p>
      <w:pPr>
        <w:pStyle w:val="Heading3"/>
      </w:pPr>
      <w:r>
        <w:rPr>
          <w:rFonts w:ascii="Arial" w:cs="Arial" w:eastAsia="Arial" w:hAnsi="Arial"/>
          <w:b/>
          <w:bCs/>
          <w:color w:val="555555"/>
          <w:sz w:val="20"/>
          <w:szCs w:val="20"/>
        </w:rPr>
        <w:t xml:space="preserve">Key Deliverables</w:t>
      </w:r>
    </w:p>
    <w:p>
      <w:pPr>
        <w:pStyle w:val="ListParagraph"/>
        <w:numPr>
          <w:ilvl w:val="0"/>
          <w:numId w:val="2"/>
        </w:numPr>
        <w:spacing w:after="60"/>
      </w:pPr>
      <w:r>
        <w:rPr>
          <w:rFonts w:ascii="Arial" w:cs="Arial" w:eastAsia="Arial" w:hAnsi="Arial"/>
          <w:color w:val="333333"/>
          <w:sz w:val="19"/>
          <w:szCs w:val="19"/>
        </w:rPr>
        <w:t xml:space="preserve">Client scorecard grid with configurable sort/filter</w:t>
      </w:r>
    </w:p>
    <w:p>
      <w:pPr>
        <w:pStyle w:val="ListParagraph"/>
        <w:numPr>
          <w:ilvl w:val="0"/>
          <w:numId w:val="2"/>
        </w:numPr>
        <w:spacing w:after="60"/>
      </w:pPr>
      <w:r>
        <w:rPr>
          <w:rFonts w:ascii="Arial" w:cs="Arial" w:eastAsia="Arial" w:hAnsi="Arial"/>
          <w:color w:val="333333"/>
          <w:sz w:val="19"/>
          <w:szCs w:val="19"/>
        </w:rPr>
        <w:t xml:space="preserve">Scorecard cards with 9 financial metrics each</w:t>
      </w:r>
    </w:p>
    <w:p>
      <w:pPr>
        <w:pStyle w:val="ListParagraph"/>
        <w:numPr>
          <w:ilvl w:val="0"/>
          <w:numId w:val="2"/>
        </w:numPr>
        <w:spacing w:after="60"/>
      </w:pPr>
      <w:r>
        <w:rPr>
          <w:rFonts w:ascii="Arial" w:cs="Arial" w:eastAsia="Arial" w:hAnsi="Arial"/>
          <w:color w:val="333333"/>
          <w:sz w:val="19"/>
          <w:szCs w:val="19"/>
        </w:rPr>
        <w:t xml:space="preserve">Detailed client view with monthly pivot table</w:t>
      </w:r>
    </w:p>
    <w:p>
      <w:pPr>
        <w:pStyle w:val="ListParagraph"/>
        <w:numPr>
          <w:ilvl w:val="0"/>
          <w:numId w:val="2"/>
        </w:numPr>
        <w:spacing w:after="60"/>
      </w:pPr>
      <w:r>
        <w:rPr>
          <w:rFonts w:ascii="Arial" w:cs="Arial" w:eastAsia="Arial" w:hAnsi="Arial"/>
          <w:color w:val="333333"/>
          <w:sz w:val="19"/>
          <w:szCs w:val="19"/>
        </w:rPr>
        <w:t xml:space="preserve">Person allocation table (login, FTE, type, cost)</w:t>
      </w:r>
    </w:p>
    <w:p>
      <w:pPr>
        <w:pStyle w:val="ListParagraph"/>
        <w:numPr>
          <w:ilvl w:val="0"/>
          <w:numId w:val="2"/>
        </w:numPr>
        <w:spacing w:after="60"/>
      </w:pPr>
      <w:r>
        <w:rPr>
          <w:rFonts w:ascii="Arial" w:cs="Arial" w:eastAsia="Arial" w:hAnsi="Arial"/>
          <w:color w:val="333333"/>
          <w:sz w:val="19"/>
          <w:szCs w:val="19"/>
        </w:rPr>
        <w:t xml:space="preserve">Contract LOB breakdown within each client</w:t>
      </w:r>
    </w:p>
    <w:p>
      <w:pPr>
        <w:pStyle w:val="ListParagraph"/>
        <w:numPr>
          <w:ilvl w:val="0"/>
          <w:numId w:val="2"/>
        </w:numPr>
        <w:spacing w:after="60"/>
      </w:pPr>
      <w:r>
        <w:rPr>
          <w:rFonts w:ascii="Arial" w:cs="Arial" w:eastAsia="Arial" w:hAnsi="Arial"/>
          <w:color w:val="333333"/>
          <w:sz w:val="19"/>
          <w:szCs w:val="19"/>
        </w:rPr>
        <w:t xml:space="preserve">Forecast vs. Actual variance indicators per client</w:t>
      </w:r>
    </w:p>
    <w:p>
      <w:pPr>
        <w:pStyle w:val="ListParagraph"/>
        <w:numPr>
          <w:ilvl w:val="0"/>
          <w:numId w:val="2"/>
        </w:numPr>
        <w:spacing w:after="60"/>
      </w:pPr>
      <w:r>
        <w:rPr>
          <w:rFonts w:ascii="Arial" w:cs="Arial" w:eastAsia="Arial" w:hAnsi="Arial"/>
          <w:color w:val="333333"/>
          <w:sz w:val="19"/>
          <w:szCs w:val="19"/>
        </w:rPr>
        <w:t xml:space="preserve">Client health scoring (green/yellow/red)</w:t>
      </w:r>
    </w:p>
    <w:p>
      <w:pPr>
        <w:spacing w:after="120"/>
      </w:pPr>
      <w:r>
        <w:rPr>
          <w:rFonts w:ascii="Arial" w:cs="Arial" w:eastAsia="Arial" w:hAnsi="Arial"/>
          <w:b w:val="false"/>
          <w:bCs w:val="false"/>
          <w:i w:val="false"/>
          <w:iCs w:val="false"/>
          <w:color w:val="333333"/>
          <w:sz w:val="20"/>
          <w:szCs w:val="20"/>
        </w:rPr>
        <w:t xml:space="preserve"/>
      </w:r>
    </w:p>
    <w:p>
      <w:pPr>
        <w:pStyle w:val="Heading2"/>
        <w:spacing w:after="120" w:before="300"/>
      </w:pPr>
      <w:r>
        <w:rPr>
          <w:rFonts w:ascii="Arial" w:cs="Arial" w:eastAsia="Arial" w:hAnsi="Arial"/>
          <w:b/>
          <w:bCs/>
          <w:color w:val="E31937"/>
          <w:sz w:val="24"/>
          <w:szCs w:val="24"/>
        </w:rPr>
        <w:t xml:space="preserve">EPIC-06  </w:t>
      </w:r>
      <w:r>
        <w:rPr>
          <w:rFonts w:ascii="Arial" w:cs="Arial" w:eastAsia="Arial" w:hAnsi="Arial"/>
          <w:b/>
          <w:bCs/>
          <w:color w:val="1B2A4A"/>
          <w:sz w:val="24"/>
          <w:szCs w:val="24"/>
        </w:rPr>
        <w:t xml:space="preserve">Budget vs. Actual Analysis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none" w:sz="0"/>
              <w:left w:val="none" w:sz="0"/>
              <w:bottom w:val="none" w:sz="0"/>
              <w:right w:val="none" w:sz="0"/>
            </w:tcBorders>
            <w:shd w:fill="E8F0FE"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Phase: </w:t>
            </w:r>
            <w:r>
              <w:rPr>
                <w:rFonts w:ascii="Arial" w:cs="Arial" w:eastAsia="Arial" w:hAnsi="Arial"/>
                <w:color w:val="333333"/>
                <w:sz w:val="17"/>
                <w:szCs w:val="17"/>
              </w:rPr>
              <w:t xml:space="preserve">Phase 1</w:t>
            </w:r>
          </w:p>
        </w:tc>
        <w:tc>
          <w:tcPr>
            <w:tcW w:type="dxa" w:w="2460"/>
            <w:tcBorders>
              <w:top w:val="none" w:sz="0"/>
              <w:left w:val="none" w:sz="0"/>
              <w:bottom w:val="none" w:sz="0"/>
              <w:right w:val="none" w:sz="0"/>
            </w:tcBorders>
            <w:shd w:fill="E8F0FE"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Priority: </w:t>
            </w:r>
            <w:r>
              <w:rPr>
                <w:rFonts w:ascii="Arial" w:cs="Arial" w:eastAsia="Arial" w:hAnsi="Arial"/>
                <w:color w:val="333333"/>
                <w:sz w:val="17"/>
                <w:szCs w:val="17"/>
              </w:rPr>
              <w:t xml:space="preserve">P0</w:t>
            </w:r>
          </w:p>
        </w:tc>
        <w:tc>
          <w:tcPr>
            <w:tcW w:type="dxa" w:w="2460"/>
            <w:tcBorders>
              <w:top w:val="none" w:sz="0"/>
              <w:left w:val="none" w:sz="0"/>
              <w:bottom w:val="none" w:sz="0"/>
              <w:right w:val="none" w:sz="0"/>
            </w:tcBorders>
            <w:shd w:fill="E8F0FE"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Effort: </w:t>
            </w:r>
            <w:r>
              <w:rPr>
                <w:rFonts w:ascii="Arial" w:cs="Arial" w:eastAsia="Arial" w:hAnsi="Arial"/>
                <w:color w:val="333333"/>
                <w:sz w:val="17"/>
                <w:szCs w:val="17"/>
              </w:rPr>
              <w:t xml:space="preserve">2 weeks</w:t>
            </w:r>
          </w:p>
        </w:tc>
        <w:tc>
          <w:tcPr>
            <w:tcW w:type="dxa" w:w="2460"/>
            <w:tcBorders>
              <w:top w:val="none" w:sz="0"/>
              <w:left w:val="none" w:sz="0"/>
              <w:bottom w:val="none" w:sz="0"/>
              <w:right w:val="none" w:sz="0"/>
            </w:tcBorders>
            <w:shd w:fill="E8F0FE"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ADRs: </w:t>
            </w:r>
            <w:r>
              <w:rPr>
                <w:rFonts w:ascii="Arial" w:cs="Arial" w:eastAsia="Arial" w:hAnsi="Arial"/>
                <w:color w:val="333333"/>
                <w:sz w:val="17"/>
                <w:szCs w:val="17"/>
              </w:rPr>
              <w:t xml:space="preserve">ADR-001</w:t>
            </w:r>
          </w:p>
        </w:tc>
      </w:tr>
    </w:tbl>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Dedicated variance analysis page comparing any two outlook versions (Budget vs. Actual+Forecast, Forecast M vs. Forecast M-1, etc.). Shows the two-baseline comparison with absolute and percentage-point deltas across all financial and FTE measures, client-level variance waterfall chart (which clients are driving the delta), and cost component decomposition. Replaces the Power BI baseline comparison view and the budget-vs-actual variance tables.</w:t>
      </w:r>
    </w:p>
    <w:p>
      <w:pPr>
        <w:spacing w:after="120"/>
      </w:pPr>
      <w:r>
        <w:rPr>
          <w:rFonts w:ascii="Arial" w:cs="Arial" w:eastAsia="Arial" w:hAnsi="Arial"/>
          <w:b/>
          <w:bCs/>
          <w:color w:val="333333"/>
          <w:sz w:val="20"/>
          <w:szCs w:val="20"/>
        </w:rPr>
        <w:t xml:space="preserve">Depends on: </w:t>
      </w:r>
      <w:r>
        <w:rPr>
          <w:rFonts w:ascii="Arial" w:cs="Arial" w:eastAsia="Arial" w:hAnsi="Arial"/>
          <w:color w:val="333333"/>
          <w:sz w:val="20"/>
          <w:szCs w:val="20"/>
        </w:rPr>
        <w:t xml:space="preserve">EPIC-02, EPIC-03</w:t>
      </w:r>
    </w:p>
    <w:p>
      <w:pPr>
        <w:spacing w:after="120"/>
      </w:pPr>
      <w:r>
        <w:rPr>
          <w:rFonts w:ascii="Arial" w:cs="Arial" w:eastAsia="Arial" w:hAnsi="Arial"/>
          <w:b/>
          <w:bCs/>
          <w:color w:val="E31937"/>
          <w:sz w:val="20"/>
          <w:szCs w:val="20"/>
        </w:rPr>
        <w:t xml:space="preserve">Replaces: </w:t>
      </w:r>
      <w:r>
        <w:rPr>
          <w:rFonts w:ascii="Arial" w:cs="Arial" w:eastAsia="Arial" w:hAnsi="Arial"/>
          <w:i/>
          <w:iCs/>
          <w:color w:val="666666"/>
          <w:sz w:val="20"/>
          <w:szCs w:val="20"/>
        </w:rPr>
        <w:t xml:space="preserve">Power BI baseline comparison view, 2026_Hoshin_Nova/scripts/generate_ytd_vs_budget_v2.py</w:t>
      </w:r>
    </w:p>
    <w:p>
      <w:pPr>
        <w:pStyle w:val="Heading3"/>
      </w:pPr>
      <w:r>
        <w:rPr>
          <w:rFonts w:ascii="Arial" w:cs="Arial" w:eastAsia="Arial" w:hAnsi="Arial"/>
          <w:b/>
          <w:bCs/>
          <w:color w:val="555555"/>
          <w:sz w:val="20"/>
          <w:szCs w:val="20"/>
        </w:rPr>
        <w:t xml:space="preserve">Key Deliverables</w:t>
      </w:r>
    </w:p>
    <w:p>
      <w:pPr>
        <w:pStyle w:val="ListParagraph"/>
        <w:numPr>
          <w:ilvl w:val="0"/>
          <w:numId w:val="2"/>
        </w:numPr>
        <w:spacing w:after="60"/>
      </w:pPr>
      <w:r>
        <w:rPr>
          <w:rFonts w:ascii="Arial" w:cs="Arial" w:eastAsia="Arial" w:hAnsi="Arial"/>
          <w:color w:val="333333"/>
          <w:sz w:val="19"/>
          <w:szCs w:val="19"/>
        </w:rPr>
        <w:t xml:space="preserve">Dual-baseline selector (any two outlook versions)</w:t>
      </w:r>
    </w:p>
    <w:p>
      <w:pPr>
        <w:pStyle w:val="ListParagraph"/>
        <w:numPr>
          <w:ilvl w:val="0"/>
          <w:numId w:val="2"/>
        </w:numPr>
        <w:spacing w:after="60"/>
      </w:pPr>
      <w:r>
        <w:rPr>
          <w:rFonts w:ascii="Arial" w:cs="Arial" w:eastAsia="Arial" w:hAnsi="Arial"/>
          <w:color w:val="333333"/>
          <w:sz w:val="19"/>
          <w:szCs w:val="19"/>
        </w:rPr>
        <w:t xml:space="preserve">Summary comparison table (revenue, costs, margins, FTEs)</w:t>
      </w:r>
    </w:p>
    <w:p>
      <w:pPr>
        <w:pStyle w:val="ListParagraph"/>
        <w:numPr>
          <w:ilvl w:val="0"/>
          <w:numId w:val="2"/>
        </w:numPr>
        <w:spacing w:after="60"/>
      </w:pPr>
      <w:r>
        <w:rPr>
          <w:rFonts w:ascii="Arial" w:cs="Arial" w:eastAsia="Arial" w:hAnsi="Arial"/>
          <w:color w:val="333333"/>
          <w:sz w:val="19"/>
          <w:szCs w:val="19"/>
        </w:rPr>
        <w:t xml:space="preserve">Client-level waterfall chart (biggest movers)</w:t>
      </w:r>
    </w:p>
    <w:p>
      <w:pPr>
        <w:pStyle w:val="ListParagraph"/>
        <w:numPr>
          <w:ilvl w:val="0"/>
          <w:numId w:val="2"/>
        </w:numPr>
        <w:spacing w:after="60"/>
      </w:pPr>
      <w:r>
        <w:rPr>
          <w:rFonts w:ascii="Arial" w:cs="Arial" w:eastAsia="Arial" w:hAnsi="Arial"/>
          <w:color w:val="333333"/>
          <w:sz w:val="19"/>
          <w:szCs w:val="19"/>
        </w:rPr>
        <w:t xml:space="preserve">Cost component variance breakdown</w:t>
      </w:r>
    </w:p>
    <w:p>
      <w:pPr>
        <w:pStyle w:val="ListParagraph"/>
        <w:numPr>
          <w:ilvl w:val="0"/>
          <w:numId w:val="2"/>
        </w:numPr>
        <w:spacing w:after="60"/>
      </w:pPr>
      <w:r>
        <w:rPr>
          <w:rFonts w:ascii="Arial" w:cs="Arial" w:eastAsia="Arial" w:hAnsi="Arial"/>
          <w:color w:val="333333"/>
          <w:sz w:val="19"/>
          <w:szCs w:val="19"/>
        </w:rPr>
        <w:t xml:space="preserve">Percentage-point delta formatting</w:t>
      </w:r>
    </w:p>
    <w:p>
      <w:pPr>
        <w:pStyle w:val="ListParagraph"/>
        <w:numPr>
          <w:ilvl w:val="0"/>
          <w:numId w:val="2"/>
        </w:numPr>
        <w:spacing w:after="60"/>
      </w:pPr>
      <w:r>
        <w:rPr>
          <w:rFonts w:ascii="Arial" w:cs="Arial" w:eastAsia="Arial" w:hAnsi="Arial"/>
          <w:color w:val="333333"/>
          <w:sz w:val="19"/>
          <w:szCs w:val="19"/>
        </w:rPr>
        <w:t xml:space="preserve">Drill-down from variance to client to contract LOB</w:t>
      </w:r>
    </w:p>
    <w:p>
      <w:pPr>
        <w:spacing w:after="120"/>
      </w:pPr>
      <w:r>
        <w:rPr>
          <w:rFonts w:ascii="Arial" w:cs="Arial" w:eastAsia="Arial" w:hAnsi="Arial"/>
          <w:b w:val="false"/>
          <w:bCs w:val="false"/>
          <w:i w:val="false"/>
          <w:iCs w:val="false"/>
          <w:color w:val="333333"/>
          <w:sz w:val="20"/>
          <w:szCs w:val="20"/>
        </w:rPr>
        <w:t xml:space="preserve"/>
      </w:r>
    </w:p>
    <w:p>
      <w:pPr>
        <w:pStyle w:val="Heading2"/>
        <w:spacing w:after="120" w:before="300"/>
      </w:pPr>
      <w:r>
        <w:rPr>
          <w:rFonts w:ascii="Arial" w:cs="Arial" w:eastAsia="Arial" w:hAnsi="Arial"/>
          <w:b/>
          <w:bCs/>
          <w:color w:val="E31937"/>
          <w:sz w:val="24"/>
          <w:szCs w:val="24"/>
        </w:rPr>
        <w:t xml:space="preserve">EPIC-07  </w:t>
      </w:r>
      <w:r>
        <w:rPr>
          <w:rFonts w:ascii="Arial" w:cs="Arial" w:eastAsia="Arial" w:hAnsi="Arial"/>
          <w:b/>
          <w:bCs/>
          <w:color w:val="1B2A4A"/>
          <w:sz w:val="24"/>
          <w:szCs w:val="24"/>
        </w:rPr>
        <w:t xml:space="preserve">Revenue Pipeline &amp; Demand Confidence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none" w:sz="0"/>
              <w:left w:val="none" w:sz="0"/>
              <w:bottom w:val="none" w:sz="0"/>
              <w:right w:val="none" w:sz="0"/>
            </w:tcBorders>
            <w:shd w:fill="E8F0FE"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Phase: </w:t>
            </w:r>
            <w:r>
              <w:rPr>
                <w:rFonts w:ascii="Arial" w:cs="Arial" w:eastAsia="Arial" w:hAnsi="Arial"/>
                <w:color w:val="333333"/>
                <w:sz w:val="17"/>
                <w:szCs w:val="17"/>
              </w:rPr>
              <w:t xml:space="preserve">Phase 1</w:t>
            </w:r>
          </w:p>
        </w:tc>
        <w:tc>
          <w:tcPr>
            <w:tcW w:type="dxa" w:w="2460"/>
            <w:tcBorders>
              <w:top w:val="none" w:sz="0"/>
              <w:left w:val="none" w:sz="0"/>
              <w:bottom w:val="none" w:sz="0"/>
              <w:right w:val="none" w:sz="0"/>
            </w:tcBorders>
            <w:shd w:fill="E8F0FE"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Priority: </w:t>
            </w:r>
            <w:r>
              <w:rPr>
                <w:rFonts w:ascii="Arial" w:cs="Arial" w:eastAsia="Arial" w:hAnsi="Arial"/>
                <w:color w:val="333333"/>
                <w:sz w:val="17"/>
                <w:szCs w:val="17"/>
              </w:rPr>
              <w:t xml:space="preserve">P1</w:t>
            </w:r>
          </w:p>
        </w:tc>
        <w:tc>
          <w:tcPr>
            <w:tcW w:type="dxa" w:w="2460"/>
            <w:tcBorders>
              <w:top w:val="none" w:sz="0"/>
              <w:left w:val="none" w:sz="0"/>
              <w:bottom w:val="none" w:sz="0"/>
              <w:right w:val="none" w:sz="0"/>
            </w:tcBorders>
            <w:shd w:fill="E8F0FE"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Effort: </w:t>
            </w:r>
            <w:r>
              <w:rPr>
                <w:rFonts w:ascii="Arial" w:cs="Arial" w:eastAsia="Arial" w:hAnsi="Arial"/>
                <w:color w:val="333333"/>
                <w:sz w:val="17"/>
                <w:szCs w:val="17"/>
              </w:rPr>
              <w:t xml:space="preserve">2 weeks</w:t>
            </w:r>
          </w:p>
        </w:tc>
        <w:tc>
          <w:tcPr>
            <w:tcW w:type="dxa" w:w="2460"/>
            <w:tcBorders>
              <w:top w:val="none" w:sz="0"/>
              <w:left w:val="none" w:sz="0"/>
              <w:bottom w:val="none" w:sz="0"/>
              <w:right w:val="none" w:sz="0"/>
            </w:tcBorders>
            <w:shd w:fill="E8F0FE"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ADRs: </w:t>
            </w:r>
            <w:r>
              <w:rPr>
                <w:rFonts w:ascii="Arial" w:cs="Arial" w:eastAsia="Arial" w:hAnsi="Arial"/>
                <w:color w:val="333333"/>
                <w:sz w:val="17"/>
                <w:szCs w:val="17"/>
              </w:rPr>
              <w:t xml:space="preserve">ADR-001, ADR-005</w:t>
            </w:r>
          </w:p>
        </w:tc>
      </w:tr>
    </w:tbl>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Revenue status breakdown page showing total revenue by status (Signed Contract, Contract Renewal, Expand, Land) per client, with confidence waterfall visualization. Monthly trend showing how status composition evolves. Year-over-year growth analysis with color-coded status indicators. This makes visible the 93.3% uncommitted revenue risk that ADR-005 identified.</w:t>
      </w:r>
    </w:p>
    <w:p>
      <w:pPr>
        <w:spacing w:after="120"/>
      </w:pPr>
      <w:r>
        <w:rPr>
          <w:rFonts w:ascii="Arial" w:cs="Arial" w:eastAsia="Arial" w:hAnsi="Arial"/>
          <w:b/>
          <w:bCs/>
          <w:color w:val="333333"/>
          <w:sz w:val="20"/>
          <w:szCs w:val="20"/>
        </w:rPr>
        <w:t xml:space="preserve">Depends on: </w:t>
      </w:r>
      <w:r>
        <w:rPr>
          <w:rFonts w:ascii="Arial" w:cs="Arial" w:eastAsia="Arial" w:hAnsi="Arial"/>
          <w:color w:val="333333"/>
          <w:sz w:val="20"/>
          <w:szCs w:val="20"/>
        </w:rPr>
        <w:t xml:space="preserve">EPIC-02, EPIC-03</w:t>
      </w:r>
    </w:p>
    <w:p>
      <w:pPr>
        <w:spacing w:after="120"/>
      </w:pPr>
      <w:r>
        <w:rPr>
          <w:rFonts w:ascii="Arial" w:cs="Arial" w:eastAsia="Arial" w:hAnsi="Arial"/>
          <w:b/>
          <w:bCs/>
          <w:color w:val="E31937"/>
          <w:sz w:val="20"/>
          <w:szCs w:val="20"/>
        </w:rPr>
        <w:t xml:space="preserve">Replaces: </w:t>
      </w:r>
      <w:r>
        <w:rPr>
          <w:rFonts w:ascii="Arial" w:cs="Arial" w:eastAsia="Arial" w:hAnsi="Arial"/>
          <w:i/>
          <w:iCs/>
          <w:color w:val="666666"/>
          <w:sz w:val="20"/>
          <w:szCs w:val="20"/>
        </w:rPr>
        <w:t xml:space="preserve">Power BI revenue status breakdown and growth tables</w:t>
      </w:r>
    </w:p>
    <w:p>
      <w:pPr>
        <w:pStyle w:val="Heading3"/>
      </w:pPr>
      <w:r>
        <w:rPr>
          <w:rFonts w:ascii="Arial" w:cs="Arial" w:eastAsia="Arial" w:hAnsi="Arial"/>
          <w:b/>
          <w:bCs/>
          <w:color w:val="555555"/>
          <w:sz w:val="20"/>
          <w:szCs w:val="20"/>
        </w:rPr>
        <w:t xml:space="preserve">Key Deliverables</w:t>
      </w:r>
    </w:p>
    <w:p>
      <w:pPr>
        <w:pStyle w:val="ListParagraph"/>
        <w:numPr>
          <w:ilvl w:val="0"/>
          <w:numId w:val="2"/>
        </w:numPr>
        <w:spacing w:after="60"/>
      </w:pPr>
      <w:r>
        <w:rPr>
          <w:rFonts w:ascii="Arial" w:cs="Arial" w:eastAsia="Arial" w:hAnsi="Arial"/>
          <w:color w:val="333333"/>
          <w:sz w:val="19"/>
          <w:szCs w:val="19"/>
        </w:rPr>
        <w:t xml:space="preserve">Revenue by status per client (table + chart)</w:t>
      </w:r>
    </w:p>
    <w:p>
      <w:pPr>
        <w:pStyle w:val="ListParagraph"/>
        <w:numPr>
          <w:ilvl w:val="0"/>
          <w:numId w:val="2"/>
        </w:numPr>
        <w:spacing w:after="60"/>
      </w:pPr>
      <w:r>
        <w:rPr>
          <w:rFonts w:ascii="Arial" w:cs="Arial" w:eastAsia="Arial" w:hAnsi="Arial"/>
          <w:color w:val="333333"/>
          <w:sz w:val="19"/>
          <w:szCs w:val="19"/>
        </w:rPr>
        <w:t xml:space="preserve">Demand confidence waterfall (committed to uncommitted)</w:t>
      </w:r>
    </w:p>
    <w:p>
      <w:pPr>
        <w:pStyle w:val="ListParagraph"/>
        <w:numPr>
          <w:ilvl w:val="0"/>
          <w:numId w:val="2"/>
        </w:numPr>
        <w:spacing w:after="60"/>
      </w:pPr>
      <w:r>
        <w:rPr>
          <w:rFonts w:ascii="Arial" w:cs="Arial" w:eastAsia="Arial" w:hAnsi="Arial"/>
          <w:color w:val="333333"/>
          <w:sz w:val="19"/>
          <w:szCs w:val="19"/>
        </w:rPr>
        <w:t xml:space="preserve">Monthly status evolution trend</w:t>
      </w:r>
    </w:p>
    <w:p>
      <w:pPr>
        <w:pStyle w:val="ListParagraph"/>
        <w:numPr>
          <w:ilvl w:val="0"/>
          <w:numId w:val="2"/>
        </w:numPr>
        <w:spacing w:after="60"/>
      </w:pPr>
      <w:r>
        <w:rPr>
          <w:rFonts w:ascii="Arial" w:cs="Arial" w:eastAsia="Arial" w:hAnsi="Arial"/>
          <w:color w:val="333333"/>
          <w:sz w:val="19"/>
          <w:szCs w:val="19"/>
        </w:rPr>
        <w:t xml:space="preserve">YoY growth comparison with status indicators</w:t>
      </w:r>
    </w:p>
    <w:p>
      <w:pPr>
        <w:pStyle w:val="ListParagraph"/>
        <w:numPr>
          <w:ilvl w:val="0"/>
          <w:numId w:val="2"/>
        </w:numPr>
        <w:spacing w:after="60"/>
      </w:pPr>
      <w:r>
        <w:rPr>
          <w:rFonts w:ascii="Arial" w:cs="Arial" w:eastAsia="Arial" w:hAnsi="Arial"/>
          <w:color w:val="333333"/>
          <w:sz w:val="19"/>
          <w:szCs w:val="19"/>
        </w:rPr>
        <w:t xml:space="preserve">Client-level pipeline risk scoring</w:t>
      </w:r>
    </w:p>
    <w:p>
      <w:pPr>
        <w:pStyle w:val="ListParagraph"/>
        <w:numPr>
          <w:ilvl w:val="0"/>
          <w:numId w:val="2"/>
        </w:numPr>
        <w:spacing w:after="60"/>
      </w:pPr>
      <w:r>
        <w:rPr>
          <w:rFonts w:ascii="Arial" w:cs="Arial" w:eastAsia="Arial" w:hAnsi="Arial"/>
          <w:color w:val="333333"/>
          <w:sz w:val="19"/>
          <w:szCs w:val="19"/>
        </w:rPr>
        <w:t xml:space="preserve">Revenue status transition tracking (month-over-month)</w:t>
      </w:r>
    </w:p>
    <w:p>
      <w:pPr>
        <w:spacing w:after="120"/>
      </w:pPr>
      <w:r>
        <w:rPr>
          <w:rFonts w:ascii="Arial" w:cs="Arial" w:eastAsia="Arial" w:hAnsi="Arial"/>
          <w:b w:val="false"/>
          <w:bCs w:val="false"/>
          <w:i w:val="false"/>
          <w:iCs w:val="false"/>
          <w:color w:val="333333"/>
          <w:sz w:val="20"/>
          <w:szCs w:val="20"/>
        </w:rPr>
        <w:t xml:space="preserve"/>
      </w:r>
    </w:p>
    <w:p>
      <w:pPr>
        <w:pStyle w:val="Heading2"/>
        <w:spacing w:after="120" w:before="300"/>
      </w:pPr>
      <w:r>
        <w:rPr>
          <w:rFonts w:ascii="Arial" w:cs="Arial" w:eastAsia="Arial" w:hAnsi="Arial"/>
          <w:b/>
          <w:bCs/>
          <w:color w:val="E31937"/>
          <w:sz w:val="24"/>
          <w:szCs w:val="24"/>
        </w:rPr>
        <w:t xml:space="preserve">EPIC-08  </w:t>
      </w:r>
      <w:r>
        <w:rPr>
          <w:rFonts w:ascii="Arial" w:cs="Arial" w:eastAsia="Arial" w:hAnsi="Arial"/>
          <w:b/>
          <w:bCs/>
          <w:color w:val="1B2A4A"/>
          <w:sz w:val="24"/>
          <w:szCs w:val="24"/>
        </w:rPr>
        <w:t xml:space="preserve">Cost Structure Deep Dive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none" w:sz="0"/>
              <w:left w:val="none" w:sz="0"/>
              <w:bottom w:val="none" w:sz="0"/>
              <w:right w:val="none" w:sz="0"/>
            </w:tcBorders>
            <w:shd w:fill="E6F4EA"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Phase: </w:t>
            </w:r>
            <w:r>
              <w:rPr>
                <w:rFonts w:ascii="Arial" w:cs="Arial" w:eastAsia="Arial" w:hAnsi="Arial"/>
                <w:color w:val="333333"/>
                <w:sz w:val="17"/>
                <w:szCs w:val="17"/>
              </w:rPr>
              <w:t xml:space="preserve">Phase 2</w:t>
            </w:r>
          </w:p>
        </w:tc>
        <w:tc>
          <w:tcPr>
            <w:tcW w:type="dxa" w:w="2460"/>
            <w:tcBorders>
              <w:top w:val="none" w:sz="0"/>
              <w:left w:val="none" w:sz="0"/>
              <w:bottom w:val="none" w:sz="0"/>
              <w:right w:val="none" w:sz="0"/>
            </w:tcBorders>
            <w:shd w:fill="E6F4EA"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Priority: </w:t>
            </w:r>
            <w:r>
              <w:rPr>
                <w:rFonts w:ascii="Arial" w:cs="Arial" w:eastAsia="Arial" w:hAnsi="Arial"/>
                <w:color w:val="333333"/>
                <w:sz w:val="17"/>
                <w:szCs w:val="17"/>
              </w:rPr>
              <w:t xml:space="preserve">P1</w:t>
            </w:r>
          </w:p>
        </w:tc>
        <w:tc>
          <w:tcPr>
            <w:tcW w:type="dxa" w:w="2460"/>
            <w:tcBorders>
              <w:top w:val="none" w:sz="0"/>
              <w:left w:val="none" w:sz="0"/>
              <w:bottom w:val="none" w:sz="0"/>
              <w:right w:val="none" w:sz="0"/>
            </w:tcBorders>
            <w:shd w:fill="E6F4EA"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Effort: </w:t>
            </w:r>
            <w:r>
              <w:rPr>
                <w:rFonts w:ascii="Arial" w:cs="Arial" w:eastAsia="Arial" w:hAnsi="Arial"/>
                <w:color w:val="333333"/>
                <w:sz w:val="17"/>
                <w:szCs w:val="17"/>
              </w:rPr>
              <w:t xml:space="preserve">2-3 weeks</w:t>
            </w:r>
          </w:p>
        </w:tc>
        <w:tc>
          <w:tcPr>
            <w:tcW w:type="dxa" w:w="2460"/>
            <w:tcBorders>
              <w:top w:val="none" w:sz="0"/>
              <w:left w:val="none" w:sz="0"/>
              <w:bottom w:val="none" w:sz="0"/>
              <w:right w:val="none" w:sz="0"/>
            </w:tcBorders>
            <w:shd w:fill="E6F4EA"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ADRs: </w:t>
            </w:r>
            <w:r>
              <w:rPr>
                <w:rFonts w:ascii="Arial" w:cs="Arial" w:eastAsia="Arial" w:hAnsi="Arial"/>
                <w:color w:val="333333"/>
                <w:sz w:val="17"/>
                <w:szCs w:val="17"/>
              </w:rPr>
              <w:t xml:space="preserve">ADR-001</w:t>
            </w:r>
          </w:p>
        </w:tc>
      </w:tr>
    </w:tbl>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Three sub-pages for the non-billable cost components that drive margin: (1) Not Billed: person-level table sorted by cost impact, with contract LOB and BU breakdowns. (2) Idle: person-level idle FTE and cost, by contract LOB and client, with monthly trend. (3) Investment: person-level investment allocation with contract LOB mapping and BU distribution. Each sub-page has the bar-chart-by-contract-LOB and pie-chart-by-client visualizations from the current Power BI reports, plus monthly trend lines.</w:t>
      </w:r>
    </w:p>
    <w:p>
      <w:pPr>
        <w:spacing w:after="120"/>
      </w:pPr>
      <w:r>
        <w:rPr>
          <w:rFonts w:ascii="Arial" w:cs="Arial" w:eastAsia="Arial" w:hAnsi="Arial"/>
          <w:b/>
          <w:bCs/>
          <w:color w:val="333333"/>
          <w:sz w:val="20"/>
          <w:szCs w:val="20"/>
        </w:rPr>
        <w:t xml:space="preserve">Depends on: </w:t>
      </w:r>
      <w:r>
        <w:rPr>
          <w:rFonts w:ascii="Arial" w:cs="Arial" w:eastAsia="Arial" w:hAnsi="Arial"/>
          <w:color w:val="333333"/>
          <w:sz w:val="20"/>
          <w:szCs w:val="20"/>
        </w:rPr>
        <w:t xml:space="preserve">EPIC-04</w:t>
      </w:r>
    </w:p>
    <w:p>
      <w:pPr>
        <w:spacing w:after="120"/>
      </w:pPr>
      <w:r>
        <w:rPr>
          <w:rFonts w:ascii="Arial" w:cs="Arial" w:eastAsia="Arial" w:hAnsi="Arial"/>
          <w:b/>
          <w:bCs/>
          <w:color w:val="E31937"/>
          <w:sz w:val="20"/>
          <w:szCs w:val="20"/>
        </w:rPr>
        <w:t xml:space="preserve">Replaces: </w:t>
      </w:r>
      <w:r>
        <w:rPr>
          <w:rFonts w:ascii="Arial" w:cs="Arial" w:eastAsia="Arial" w:hAnsi="Arial"/>
          <w:i/>
          <w:iCs/>
          <w:color w:val="666666"/>
          <w:sz w:val="20"/>
          <w:szCs w:val="20"/>
        </w:rPr>
        <w:t xml:space="preserve">Power BI Not Billed, Idle, and Investment detail pages</w:t>
      </w:r>
    </w:p>
    <w:p>
      <w:pPr>
        <w:pStyle w:val="Heading3"/>
      </w:pPr>
      <w:r>
        <w:rPr>
          <w:rFonts w:ascii="Arial" w:cs="Arial" w:eastAsia="Arial" w:hAnsi="Arial"/>
          <w:b/>
          <w:bCs/>
          <w:color w:val="555555"/>
          <w:sz w:val="20"/>
          <w:szCs w:val="20"/>
        </w:rPr>
        <w:t xml:space="preserve">Key Deliverables</w:t>
      </w:r>
    </w:p>
    <w:p>
      <w:pPr>
        <w:pStyle w:val="ListParagraph"/>
        <w:numPr>
          <w:ilvl w:val="0"/>
          <w:numId w:val="2"/>
        </w:numPr>
        <w:spacing w:after="60"/>
      </w:pPr>
      <w:r>
        <w:rPr>
          <w:rFonts w:ascii="Arial" w:cs="Arial" w:eastAsia="Arial" w:hAnsi="Arial"/>
          <w:color w:val="333333"/>
          <w:sz w:val="19"/>
          <w:szCs w:val="19"/>
        </w:rPr>
        <w:t xml:space="preserve">Not Billed detail page (person table + charts)</w:t>
      </w:r>
    </w:p>
    <w:p>
      <w:pPr>
        <w:pStyle w:val="ListParagraph"/>
        <w:numPr>
          <w:ilvl w:val="0"/>
          <w:numId w:val="2"/>
        </w:numPr>
        <w:spacing w:after="60"/>
      </w:pPr>
      <w:r>
        <w:rPr>
          <w:rFonts w:ascii="Arial" w:cs="Arial" w:eastAsia="Arial" w:hAnsi="Arial"/>
          <w:color w:val="333333"/>
          <w:sz w:val="19"/>
          <w:szCs w:val="19"/>
        </w:rPr>
        <w:t xml:space="preserve">Idle detail page (person table + monthly trend)</w:t>
      </w:r>
    </w:p>
    <w:p>
      <w:pPr>
        <w:pStyle w:val="ListParagraph"/>
        <w:numPr>
          <w:ilvl w:val="0"/>
          <w:numId w:val="2"/>
        </w:numPr>
        <w:spacing w:after="60"/>
      </w:pPr>
      <w:r>
        <w:rPr>
          <w:rFonts w:ascii="Arial" w:cs="Arial" w:eastAsia="Arial" w:hAnsi="Arial"/>
          <w:color w:val="333333"/>
          <w:sz w:val="19"/>
          <w:szCs w:val="19"/>
        </w:rPr>
        <w:t xml:space="preserve">Investment detail page (person table + BU distribution)</w:t>
      </w:r>
    </w:p>
    <w:p>
      <w:pPr>
        <w:pStyle w:val="ListParagraph"/>
        <w:numPr>
          <w:ilvl w:val="0"/>
          <w:numId w:val="2"/>
        </w:numPr>
        <w:spacing w:after="60"/>
      </w:pPr>
      <w:r>
        <w:rPr>
          <w:rFonts w:ascii="Arial" w:cs="Arial" w:eastAsia="Arial" w:hAnsi="Arial"/>
          <w:color w:val="333333"/>
          <w:sz w:val="19"/>
          <w:szCs w:val="19"/>
        </w:rPr>
        <w:t xml:space="preserve">Monthly cost trend charts (Idle, Not Billed, Investment)</w:t>
      </w:r>
    </w:p>
    <w:p>
      <w:pPr>
        <w:pStyle w:val="ListParagraph"/>
        <w:numPr>
          <w:ilvl w:val="0"/>
          <w:numId w:val="2"/>
        </w:numPr>
        <w:spacing w:after="60"/>
      </w:pPr>
      <w:r>
        <w:rPr>
          <w:rFonts w:ascii="Arial" w:cs="Arial" w:eastAsia="Arial" w:hAnsi="Arial"/>
          <w:color w:val="333333"/>
          <w:sz w:val="19"/>
          <w:szCs w:val="19"/>
        </w:rPr>
        <w:t xml:space="preserve">Contract LOB breakdown bar charts</w:t>
      </w:r>
    </w:p>
    <w:p>
      <w:pPr>
        <w:pStyle w:val="ListParagraph"/>
        <w:numPr>
          <w:ilvl w:val="0"/>
          <w:numId w:val="2"/>
        </w:numPr>
        <w:spacing w:after="60"/>
      </w:pPr>
      <w:r>
        <w:rPr>
          <w:rFonts w:ascii="Arial" w:cs="Arial" w:eastAsia="Arial" w:hAnsi="Arial"/>
          <w:color w:val="333333"/>
          <w:sz w:val="19"/>
          <w:szCs w:val="19"/>
        </w:rPr>
        <w:t xml:space="preserve">Client distribution pie charts</w:t>
      </w:r>
    </w:p>
    <w:p>
      <w:pPr>
        <w:pStyle w:val="ListParagraph"/>
        <w:numPr>
          <w:ilvl w:val="0"/>
          <w:numId w:val="2"/>
        </w:numPr>
        <w:spacing w:after="60"/>
      </w:pPr>
      <w:r>
        <w:rPr>
          <w:rFonts w:ascii="Arial" w:cs="Arial" w:eastAsia="Arial" w:hAnsi="Arial"/>
          <w:color w:val="333333"/>
          <w:sz w:val="19"/>
          <w:szCs w:val="19"/>
        </w:rPr>
        <w:t xml:space="preserve">Drill-through from Financial Overview NQC cards</w:t>
      </w:r>
    </w:p>
    <w:p>
      <w:pPr>
        <w:spacing w:after="120"/>
      </w:pPr>
      <w:r>
        <w:rPr>
          <w:rFonts w:ascii="Arial" w:cs="Arial" w:eastAsia="Arial" w:hAnsi="Arial"/>
          <w:b w:val="false"/>
          <w:bCs w:val="false"/>
          <w:i w:val="false"/>
          <w:iCs w:val="false"/>
          <w:color w:val="333333"/>
          <w:sz w:val="20"/>
          <w:szCs w:val="20"/>
        </w:rPr>
        <w:t xml:space="preserve"/>
      </w:r>
    </w:p>
    <w:p>
      <w:pPr>
        <w:pStyle w:val="Heading2"/>
        <w:spacing w:after="120" w:before="300"/>
      </w:pPr>
      <w:r>
        <w:rPr>
          <w:rFonts w:ascii="Arial" w:cs="Arial" w:eastAsia="Arial" w:hAnsi="Arial"/>
          <w:b/>
          <w:bCs/>
          <w:color w:val="E31937"/>
          <w:sz w:val="24"/>
          <w:szCs w:val="24"/>
        </w:rPr>
        <w:t xml:space="preserve">EPIC-09  </w:t>
      </w:r>
      <w:r>
        <w:rPr>
          <w:rFonts w:ascii="Arial" w:cs="Arial" w:eastAsia="Arial" w:hAnsi="Arial"/>
          <w:b/>
          <w:bCs/>
          <w:color w:val="1B2A4A"/>
          <w:sz w:val="24"/>
          <w:szCs w:val="24"/>
        </w:rPr>
        <w:t xml:space="preserve">People Analytics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none" w:sz="0"/>
              <w:left w:val="none" w:sz="0"/>
              <w:bottom w:val="none" w:sz="0"/>
              <w:right w:val="none" w:sz="0"/>
            </w:tcBorders>
            <w:shd w:fill="E6F4EA"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Phase: </w:t>
            </w:r>
            <w:r>
              <w:rPr>
                <w:rFonts w:ascii="Arial" w:cs="Arial" w:eastAsia="Arial" w:hAnsi="Arial"/>
                <w:color w:val="333333"/>
                <w:sz w:val="17"/>
                <w:szCs w:val="17"/>
              </w:rPr>
              <w:t xml:space="preserve">Phase 2</w:t>
            </w:r>
          </w:p>
        </w:tc>
        <w:tc>
          <w:tcPr>
            <w:tcW w:type="dxa" w:w="2460"/>
            <w:tcBorders>
              <w:top w:val="none" w:sz="0"/>
              <w:left w:val="none" w:sz="0"/>
              <w:bottom w:val="none" w:sz="0"/>
              <w:right w:val="none" w:sz="0"/>
            </w:tcBorders>
            <w:shd w:fill="E6F4EA"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Priority: </w:t>
            </w:r>
            <w:r>
              <w:rPr>
                <w:rFonts w:ascii="Arial" w:cs="Arial" w:eastAsia="Arial" w:hAnsi="Arial"/>
                <w:color w:val="333333"/>
                <w:sz w:val="17"/>
                <w:szCs w:val="17"/>
              </w:rPr>
              <w:t xml:space="preserve">P1</w:t>
            </w:r>
          </w:p>
        </w:tc>
        <w:tc>
          <w:tcPr>
            <w:tcW w:type="dxa" w:w="2460"/>
            <w:tcBorders>
              <w:top w:val="none" w:sz="0"/>
              <w:left w:val="none" w:sz="0"/>
              <w:bottom w:val="none" w:sz="0"/>
              <w:right w:val="none" w:sz="0"/>
            </w:tcBorders>
            <w:shd w:fill="E6F4EA"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Effort: </w:t>
            </w:r>
            <w:r>
              <w:rPr>
                <w:rFonts w:ascii="Arial" w:cs="Arial" w:eastAsia="Arial" w:hAnsi="Arial"/>
                <w:color w:val="333333"/>
                <w:sz w:val="17"/>
                <w:szCs w:val="17"/>
              </w:rPr>
              <w:t xml:space="preserve">3-4 weeks</w:t>
            </w:r>
          </w:p>
        </w:tc>
        <w:tc>
          <w:tcPr>
            <w:tcW w:type="dxa" w:w="2460"/>
            <w:tcBorders>
              <w:top w:val="none" w:sz="0"/>
              <w:left w:val="none" w:sz="0"/>
              <w:bottom w:val="none" w:sz="0"/>
              <w:right w:val="none" w:sz="0"/>
            </w:tcBorders>
            <w:shd w:fill="E6F4EA"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ADRs: </w:t>
            </w:r>
            <w:r>
              <w:rPr>
                <w:rFonts w:ascii="Arial" w:cs="Arial" w:eastAsia="Arial" w:hAnsi="Arial"/>
                <w:color w:val="333333"/>
                <w:sz w:val="17"/>
                <w:szCs w:val="17"/>
              </w:rPr>
              <w:t xml:space="preserve">ADR-004</w:t>
            </w:r>
          </w:p>
        </w:tc>
      </w:tr>
    </w:tbl>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Three-level people analytics module from ADR-004. Level 1: Workforce Overview with headcount trends, role group distribution pyramid, utilization heatmap, and 10 aggregate KPIs. Level 2: Team Explorer with filterable/sortable people table, attention signals (idle streaks, utilization drops, role stagnation). Level 3: Individual Profile with career timeline, client portfolio, utilization history, financial contribution, versatility map. Absorbs and extends the ProfileBook concept with financial data that the HR system doesn't have.</w:t>
      </w:r>
    </w:p>
    <w:p>
      <w:pPr>
        <w:spacing w:after="120"/>
      </w:pPr>
      <w:r>
        <w:rPr>
          <w:rFonts w:ascii="Arial" w:cs="Arial" w:eastAsia="Arial" w:hAnsi="Arial"/>
          <w:b/>
          <w:bCs/>
          <w:color w:val="333333"/>
          <w:sz w:val="20"/>
          <w:szCs w:val="20"/>
        </w:rPr>
        <w:t xml:space="preserve">Depends on: </w:t>
      </w:r>
      <w:r>
        <w:rPr>
          <w:rFonts w:ascii="Arial" w:cs="Arial" w:eastAsia="Arial" w:hAnsi="Arial"/>
          <w:color w:val="333333"/>
          <w:sz w:val="20"/>
          <w:szCs w:val="20"/>
        </w:rPr>
        <w:t xml:space="preserve">EPIC-02, EPIC-03</w:t>
      </w:r>
    </w:p>
    <w:p>
      <w:pPr>
        <w:spacing w:after="120"/>
      </w:pPr>
      <w:r>
        <w:rPr>
          <w:rFonts w:ascii="Arial" w:cs="Arial" w:eastAsia="Arial" w:hAnsi="Arial"/>
          <w:b/>
          <w:bCs/>
          <w:color w:val="E31937"/>
          <w:sz w:val="20"/>
          <w:szCs w:val="20"/>
        </w:rPr>
        <w:t xml:space="preserve">Replaces: </w:t>
      </w:r>
      <w:r>
        <w:rPr>
          <w:rFonts w:ascii="Arial" w:cs="Arial" w:eastAsia="Arial" w:hAnsi="Arial"/>
          <w:i/>
          <w:iCs/>
          <w:color w:val="666666"/>
          <w:sz w:val="20"/>
          <w:szCs w:val="20"/>
        </w:rPr>
        <w:t xml:space="preserve">ProfileBook project (all iterations), profile-book project</w:t>
      </w:r>
    </w:p>
    <w:p>
      <w:pPr>
        <w:pStyle w:val="Heading3"/>
      </w:pPr>
      <w:r>
        <w:rPr>
          <w:rFonts w:ascii="Arial" w:cs="Arial" w:eastAsia="Arial" w:hAnsi="Arial"/>
          <w:b/>
          <w:bCs/>
          <w:color w:val="555555"/>
          <w:sz w:val="20"/>
          <w:szCs w:val="20"/>
        </w:rPr>
        <w:t xml:space="preserve">Key Deliverables</w:t>
      </w:r>
    </w:p>
    <w:p>
      <w:pPr>
        <w:pStyle w:val="ListParagraph"/>
        <w:numPr>
          <w:ilvl w:val="0"/>
          <w:numId w:val="2"/>
        </w:numPr>
        <w:spacing w:after="60"/>
      </w:pPr>
      <w:r>
        <w:rPr>
          <w:rFonts w:ascii="Arial" w:cs="Arial" w:eastAsia="Arial" w:hAnsi="Arial"/>
          <w:color w:val="333333"/>
          <w:sz w:val="19"/>
          <w:szCs w:val="19"/>
        </w:rPr>
        <w:t xml:space="preserve">Workforce Overview dashboard (10 aggregate KPIs)</w:t>
      </w:r>
    </w:p>
    <w:p>
      <w:pPr>
        <w:pStyle w:val="ListParagraph"/>
        <w:numPr>
          <w:ilvl w:val="0"/>
          <w:numId w:val="2"/>
        </w:numPr>
        <w:spacing w:after="60"/>
      </w:pPr>
      <w:r>
        <w:rPr>
          <w:rFonts w:ascii="Arial" w:cs="Arial" w:eastAsia="Arial" w:hAnsi="Arial"/>
          <w:color w:val="333333"/>
          <w:sz w:val="19"/>
          <w:szCs w:val="19"/>
        </w:rPr>
        <w:t xml:space="preserve">Seniority pyramid and role distribution charts</w:t>
      </w:r>
    </w:p>
    <w:p>
      <w:pPr>
        <w:pStyle w:val="ListParagraph"/>
        <w:numPr>
          <w:ilvl w:val="0"/>
          <w:numId w:val="2"/>
        </w:numPr>
        <w:spacing w:after="60"/>
      </w:pPr>
      <w:r>
        <w:rPr>
          <w:rFonts w:ascii="Arial" w:cs="Arial" w:eastAsia="Arial" w:hAnsi="Arial"/>
          <w:color w:val="333333"/>
          <w:sz w:val="19"/>
          <w:szCs w:val="19"/>
        </w:rPr>
        <w:t xml:space="preserve">Team Explorer with advanced filtering and attention signals</w:t>
      </w:r>
    </w:p>
    <w:p>
      <w:pPr>
        <w:pStyle w:val="ListParagraph"/>
        <w:numPr>
          <w:ilvl w:val="0"/>
          <w:numId w:val="2"/>
        </w:numPr>
        <w:spacing w:after="60"/>
      </w:pPr>
      <w:r>
        <w:rPr>
          <w:rFonts w:ascii="Arial" w:cs="Arial" w:eastAsia="Arial" w:hAnsi="Arial"/>
          <w:color w:val="333333"/>
          <w:sz w:val="19"/>
          <w:szCs w:val="19"/>
        </w:rPr>
        <w:t xml:space="preserve">Individual Profile page with career timeline</w:t>
      </w:r>
    </w:p>
    <w:p>
      <w:pPr>
        <w:pStyle w:val="ListParagraph"/>
        <w:numPr>
          <w:ilvl w:val="0"/>
          <w:numId w:val="2"/>
        </w:numPr>
        <w:spacing w:after="60"/>
      </w:pPr>
      <w:r>
        <w:rPr>
          <w:rFonts w:ascii="Arial" w:cs="Arial" w:eastAsia="Arial" w:hAnsi="Arial"/>
          <w:color w:val="333333"/>
          <w:sz w:val="19"/>
          <w:szCs w:val="19"/>
        </w:rPr>
        <w:t xml:space="preserve">Client portfolio visualization per person</w:t>
      </w:r>
    </w:p>
    <w:p>
      <w:pPr>
        <w:pStyle w:val="ListParagraph"/>
        <w:numPr>
          <w:ilvl w:val="0"/>
          <w:numId w:val="2"/>
        </w:numPr>
        <w:spacing w:after="60"/>
      </w:pPr>
      <w:r>
        <w:rPr>
          <w:rFonts w:ascii="Arial" w:cs="Arial" w:eastAsia="Arial" w:hAnsi="Arial"/>
          <w:color w:val="333333"/>
          <w:sz w:val="19"/>
          <w:szCs w:val="19"/>
        </w:rPr>
        <w:t xml:space="preserve">Utilization history sparklines</w:t>
      </w:r>
    </w:p>
    <w:p>
      <w:pPr>
        <w:pStyle w:val="ListParagraph"/>
        <w:numPr>
          <w:ilvl w:val="0"/>
          <w:numId w:val="2"/>
        </w:numPr>
        <w:spacing w:after="60"/>
      </w:pPr>
      <w:r>
        <w:rPr>
          <w:rFonts w:ascii="Arial" w:cs="Arial" w:eastAsia="Arial" w:hAnsi="Arial"/>
          <w:color w:val="333333"/>
          <w:sz w:val="19"/>
          <w:szCs w:val="19"/>
        </w:rPr>
        <w:t xml:space="preserve">Financial contribution metrics per person</w:t>
      </w:r>
    </w:p>
    <w:p>
      <w:pPr>
        <w:pStyle w:val="ListParagraph"/>
        <w:numPr>
          <w:ilvl w:val="0"/>
          <w:numId w:val="2"/>
        </w:numPr>
        <w:spacing w:after="60"/>
      </w:pPr>
      <w:r>
        <w:rPr>
          <w:rFonts w:ascii="Arial" w:cs="Arial" w:eastAsia="Arial" w:hAnsi="Arial"/>
          <w:color w:val="333333"/>
          <w:sz w:val="19"/>
          <w:szCs w:val="19"/>
        </w:rPr>
        <w:t xml:space="preserve">8 attention signals (idle streaks, drops, stagnation, etc.)</w:t>
      </w:r>
    </w:p>
    <w:p>
      <w:pPr>
        <w:pStyle w:val="ListParagraph"/>
        <w:numPr>
          <w:ilvl w:val="0"/>
          <w:numId w:val="2"/>
        </w:numPr>
        <w:spacing w:after="60"/>
      </w:pPr>
      <w:r>
        <w:rPr>
          <w:rFonts w:ascii="Arial" w:cs="Arial" w:eastAsia="Arial" w:hAnsi="Arial"/>
          <w:color w:val="333333"/>
          <w:sz w:val="19"/>
          <w:szCs w:val="19"/>
        </w:rPr>
        <w:t xml:space="preserve">Privacy guardrails (3-tier permission model)</w:t>
      </w:r>
    </w:p>
    <w:p>
      <w:pPr>
        <w:spacing w:after="120"/>
      </w:pPr>
      <w:r>
        <w:rPr>
          <w:rFonts w:ascii="Arial" w:cs="Arial" w:eastAsia="Arial" w:hAnsi="Arial"/>
          <w:b w:val="false"/>
          <w:bCs w:val="false"/>
          <w:i w:val="false"/>
          <w:iCs w:val="false"/>
          <w:color w:val="333333"/>
          <w:sz w:val="20"/>
          <w:szCs w:val="20"/>
        </w:rPr>
        <w:t xml:space="preserve"/>
      </w:r>
    </w:p>
    <w:p>
      <w:pPr>
        <w:pStyle w:val="Heading2"/>
        <w:spacing w:after="120" w:before="300"/>
      </w:pPr>
      <w:r>
        <w:rPr>
          <w:rFonts w:ascii="Arial" w:cs="Arial" w:eastAsia="Arial" w:hAnsi="Arial"/>
          <w:b/>
          <w:bCs/>
          <w:color w:val="E31937"/>
          <w:sz w:val="24"/>
          <w:szCs w:val="24"/>
        </w:rPr>
        <w:t xml:space="preserve">EPIC-10  </w:t>
      </w:r>
      <w:r>
        <w:rPr>
          <w:rFonts w:ascii="Arial" w:cs="Arial" w:eastAsia="Arial" w:hAnsi="Arial"/>
          <w:b/>
          <w:bCs/>
          <w:color w:val="1B2A4A"/>
          <w:sz w:val="24"/>
          <w:szCs w:val="24"/>
        </w:rPr>
        <w:t xml:space="preserve">Capacity Strategic Planning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none" w:sz="0"/>
              <w:left w:val="none" w:sz="0"/>
              <w:bottom w:val="none" w:sz="0"/>
              <w:right w:val="none" w:sz="0"/>
            </w:tcBorders>
            <w:shd w:fill="E6F4EA"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Phase: </w:t>
            </w:r>
            <w:r>
              <w:rPr>
                <w:rFonts w:ascii="Arial" w:cs="Arial" w:eastAsia="Arial" w:hAnsi="Arial"/>
                <w:color w:val="333333"/>
                <w:sz w:val="17"/>
                <w:szCs w:val="17"/>
              </w:rPr>
              <w:t xml:space="preserve">Phase 2</w:t>
            </w:r>
          </w:p>
        </w:tc>
        <w:tc>
          <w:tcPr>
            <w:tcW w:type="dxa" w:w="2460"/>
            <w:tcBorders>
              <w:top w:val="none" w:sz="0"/>
              <w:left w:val="none" w:sz="0"/>
              <w:bottom w:val="none" w:sz="0"/>
              <w:right w:val="none" w:sz="0"/>
            </w:tcBorders>
            <w:shd w:fill="E6F4EA"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Priority: </w:t>
            </w:r>
            <w:r>
              <w:rPr>
                <w:rFonts w:ascii="Arial" w:cs="Arial" w:eastAsia="Arial" w:hAnsi="Arial"/>
                <w:color w:val="333333"/>
                <w:sz w:val="17"/>
                <w:szCs w:val="17"/>
              </w:rPr>
              <w:t xml:space="preserve">P1</w:t>
            </w:r>
          </w:p>
        </w:tc>
        <w:tc>
          <w:tcPr>
            <w:tcW w:type="dxa" w:w="2460"/>
            <w:tcBorders>
              <w:top w:val="none" w:sz="0"/>
              <w:left w:val="none" w:sz="0"/>
              <w:bottom w:val="none" w:sz="0"/>
              <w:right w:val="none" w:sz="0"/>
            </w:tcBorders>
            <w:shd w:fill="E6F4EA"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Effort: </w:t>
            </w:r>
            <w:r>
              <w:rPr>
                <w:rFonts w:ascii="Arial" w:cs="Arial" w:eastAsia="Arial" w:hAnsi="Arial"/>
                <w:color w:val="333333"/>
                <w:sz w:val="17"/>
                <w:szCs w:val="17"/>
              </w:rPr>
              <w:t xml:space="preserve">3-4 weeks</w:t>
            </w:r>
          </w:p>
        </w:tc>
        <w:tc>
          <w:tcPr>
            <w:tcW w:type="dxa" w:w="2460"/>
            <w:tcBorders>
              <w:top w:val="none" w:sz="0"/>
              <w:left w:val="none" w:sz="0"/>
              <w:bottom w:val="none" w:sz="0"/>
              <w:right w:val="none" w:sz="0"/>
            </w:tcBorders>
            <w:shd w:fill="E6F4EA"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ADRs: </w:t>
            </w:r>
            <w:r>
              <w:rPr>
                <w:rFonts w:ascii="Arial" w:cs="Arial" w:eastAsia="Arial" w:hAnsi="Arial"/>
                <w:color w:val="333333"/>
                <w:sz w:val="17"/>
                <w:szCs w:val="17"/>
              </w:rPr>
              <w:t xml:space="preserve">ADR-005</w:t>
            </w:r>
          </w:p>
        </w:tc>
      </w:tr>
    </w:tbl>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Six-zone capacity planning page from ADR-005. Zone 1: Supply-Demand Overview (actual vs. budget FTE with gap visualization). Zone 2: Gap Analysis with demand confidence waterfall. Zone 3: Role &amp; Site Capacity Mix (seniority pyramid, geographic distribution). Zone 4: Scenario Planning (what-if simulator with sliders for hiring rate, attrition, and demand conversion). Zone 5: Attrition &amp; Ramp Intelligence (login disappearance proxy, time-to-productivity curves). Zone 6: Cross-GU Capacity Map (rebalancing suggestions). Includes 6 capacity-specific alert rules.</w:t>
      </w:r>
    </w:p>
    <w:p>
      <w:pPr>
        <w:spacing w:after="120"/>
      </w:pPr>
      <w:r>
        <w:rPr>
          <w:rFonts w:ascii="Arial" w:cs="Arial" w:eastAsia="Arial" w:hAnsi="Arial"/>
          <w:b/>
          <w:bCs/>
          <w:color w:val="333333"/>
          <w:sz w:val="20"/>
          <w:szCs w:val="20"/>
        </w:rPr>
        <w:t xml:space="preserve">Depends on: </w:t>
      </w:r>
      <w:r>
        <w:rPr>
          <w:rFonts w:ascii="Arial" w:cs="Arial" w:eastAsia="Arial" w:hAnsi="Arial"/>
          <w:color w:val="333333"/>
          <w:sz w:val="20"/>
          <w:szCs w:val="20"/>
        </w:rPr>
        <w:t xml:space="preserve">EPIC-01, EPIC-03</w:t>
      </w:r>
    </w:p>
    <w:p>
      <w:pPr>
        <w:spacing w:after="120"/>
      </w:pPr>
      <w:r>
        <w:rPr>
          <w:rFonts w:ascii="Arial" w:cs="Arial" w:eastAsia="Arial" w:hAnsi="Arial"/>
          <w:b/>
          <w:bCs/>
          <w:color w:val="E31937"/>
          <w:sz w:val="20"/>
          <w:szCs w:val="20"/>
        </w:rPr>
        <w:t xml:space="preserve">Replaces: </w:t>
      </w:r>
      <w:r>
        <w:rPr>
          <w:rFonts w:ascii="Arial" w:cs="Arial" w:eastAsia="Arial" w:hAnsi="Arial"/>
          <w:i/>
          <w:iCs/>
          <w:color w:val="666666"/>
          <w:sz w:val="20"/>
          <w:szCs w:val="20"/>
        </w:rPr>
        <w:t xml:space="preserve">Manual capacity analysis in spreadsheets</w:t>
      </w:r>
    </w:p>
    <w:p>
      <w:pPr>
        <w:pStyle w:val="Heading3"/>
      </w:pPr>
      <w:r>
        <w:rPr>
          <w:rFonts w:ascii="Arial" w:cs="Arial" w:eastAsia="Arial" w:hAnsi="Arial"/>
          <w:b/>
          <w:bCs/>
          <w:color w:val="555555"/>
          <w:sz w:val="20"/>
          <w:szCs w:val="20"/>
        </w:rPr>
        <w:t xml:space="preserve">Key Deliverables</w:t>
      </w:r>
    </w:p>
    <w:p>
      <w:pPr>
        <w:pStyle w:val="ListParagraph"/>
        <w:numPr>
          <w:ilvl w:val="0"/>
          <w:numId w:val="2"/>
        </w:numPr>
        <w:spacing w:after="60"/>
      </w:pPr>
      <w:r>
        <w:rPr>
          <w:rFonts w:ascii="Arial" w:cs="Arial" w:eastAsia="Arial" w:hAnsi="Arial"/>
          <w:color w:val="333333"/>
          <w:sz w:val="19"/>
          <w:szCs w:val="19"/>
        </w:rPr>
        <w:t xml:space="preserve">Supply-Demand overview with gap visualization</w:t>
      </w:r>
    </w:p>
    <w:p>
      <w:pPr>
        <w:pStyle w:val="ListParagraph"/>
        <w:numPr>
          <w:ilvl w:val="0"/>
          <w:numId w:val="2"/>
        </w:numPr>
        <w:spacing w:after="60"/>
      </w:pPr>
      <w:r>
        <w:rPr>
          <w:rFonts w:ascii="Arial" w:cs="Arial" w:eastAsia="Arial" w:hAnsi="Arial"/>
          <w:color w:val="333333"/>
          <w:sz w:val="19"/>
          <w:szCs w:val="19"/>
        </w:rPr>
        <w:t xml:space="preserve">Demand confidence waterfall by revenue status</w:t>
      </w:r>
    </w:p>
    <w:p>
      <w:pPr>
        <w:pStyle w:val="ListParagraph"/>
        <w:numPr>
          <w:ilvl w:val="0"/>
          <w:numId w:val="2"/>
        </w:numPr>
        <w:spacing w:after="60"/>
      </w:pPr>
      <w:r>
        <w:rPr>
          <w:rFonts w:ascii="Arial" w:cs="Arial" w:eastAsia="Arial" w:hAnsi="Arial"/>
          <w:color w:val="333333"/>
          <w:sz w:val="19"/>
          <w:szCs w:val="19"/>
        </w:rPr>
        <w:t xml:space="preserve">Role group and site capacity mix charts</w:t>
      </w:r>
    </w:p>
    <w:p>
      <w:pPr>
        <w:pStyle w:val="ListParagraph"/>
        <w:numPr>
          <w:ilvl w:val="0"/>
          <w:numId w:val="2"/>
        </w:numPr>
        <w:spacing w:after="60"/>
      </w:pPr>
      <w:r>
        <w:rPr>
          <w:rFonts w:ascii="Arial" w:cs="Arial" w:eastAsia="Arial" w:hAnsi="Arial"/>
          <w:color w:val="333333"/>
          <w:sz w:val="19"/>
          <w:szCs w:val="19"/>
        </w:rPr>
        <w:t xml:space="preserve">What-if scenario simulator with sliders</w:t>
      </w:r>
    </w:p>
    <w:p>
      <w:pPr>
        <w:pStyle w:val="ListParagraph"/>
        <w:numPr>
          <w:ilvl w:val="0"/>
          <w:numId w:val="2"/>
        </w:numPr>
        <w:spacing w:after="60"/>
      </w:pPr>
      <w:r>
        <w:rPr>
          <w:rFonts w:ascii="Arial" w:cs="Arial" w:eastAsia="Arial" w:hAnsi="Arial"/>
          <w:color w:val="333333"/>
          <w:sz w:val="19"/>
          <w:szCs w:val="19"/>
        </w:rPr>
        <w:t xml:space="preserve">Attrition proxy dashboard (login disappearance)</w:t>
      </w:r>
    </w:p>
    <w:p>
      <w:pPr>
        <w:pStyle w:val="ListParagraph"/>
        <w:numPr>
          <w:ilvl w:val="0"/>
          <w:numId w:val="2"/>
        </w:numPr>
        <w:spacing w:after="60"/>
      </w:pPr>
      <w:r>
        <w:rPr>
          <w:rFonts w:ascii="Arial" w:cs="Arial" w:eastAsia="Arial" w:hAnsi="Arial"/>
          <w:color w:val="333333"/>
          <w:sz w:val="19"/>
          <w:szCs w:val="19"/>
        </w:rPr>
        <w:t xml:space="preserve">Time-to-productivity ramp curves</w:t>
      </w:r>
    </w:p>
    <w:p>
      <w:pPr>
        <w:pStyle w:val="ListParagraph"/>
        <w:numPr>
          <w:ilvl w:val="0"/>
          <w:numId w:val="2"/>
        </w:numPr>
        <w:spacing w:after="60"/>
      </w:pPr>
      <w:r>
        <w:rPr>
          <w:rFonts w:ascii="Arial" w:cs="Arial" w:eastAsia="Arial" w:hAnsi="Arial"/>
          <w:color w:val="333333"/>
          <w:sz w:val="19"/>
          <w:szCs w:val="19"/>
        </w:rPr>
        <w:t xml:space="preserve">Cross-GU capacity rebalancing suggestions</w:t>
      </w:r>
    </w:p>
    <w:p>
      <w:pPr>
        <w:pStyle w:val="ListParagraph"/>
        <w:numPr>
          <w:ilvl w:val="0"/>
          <w:numId w:val="2"/>
        </w:numPr>
        <w:spacing w:after="60"/>
      </w:pPr>
      <w:r>
        <w:rPr>
          <w:rFonts w:ascii="Arial" w:cs="Arial" w:eastAsia="Arial" w:hAnsi="Arial"/>
          <w:color w:val="333333"/>
          <w:sz w:val="19"/>
          <w:szCs w:val="19"/>
        </w:rPr>
        <w:t xml:space="preserve">6 capacity-specific alert rules</w:t>
      </w:r>
    </w:p>
    <w:p>
      <w:pPr>
        <w:pStyle w:val="ListParagraph"/>
        <w:numPr>
          <w:ilvl w:val="0"/>
          <w:numId w:val="2"/>
        </w:numPr>
        <w:spacing w:after="60"/>
      </w:pPr>
      <w:r>
        <w:rPr>
          <w:rFonts w:ascii="Arial" w:cs="Arial" w:eastAsia="Arial" w:hAnsi="Arial"/>
          <w:color w:val="333333"/>
          <w:sz w:val="19"/>
          <w:szCs w:val="19"/>
        </w:rPr>
        <w:t xml:space="preserve">Historical budget accuracy tracker</w:t>
      </w:r>
    </w:p>
    <w:p>
      <w:pPr>
        <w:spacing w:after="120"/>
      </w:pPr>
      <w:r>
        <w:rPr>
          <w:rFonts w:ascii="Arial" w:cs="Arial" w:eastAsia="Arial" w:hAnsi="Arial"/>
          <w:b w:val="false"/>
          <w:bCs w:val="false"/>
          <w:i w:val="false"/>
          <w:iCs w:val="false"/>
          <w:color w:val="333333"/>
          <w:sz w:val="20"/>
          <w:szCs w:val="20"/>
        </w:rPr>
        <w:t xml:space="preserve"/>
      </w:r>
    </w:p>
    <w:p>
      <w:pPr>
        <w:pStyle w:val="Heading2"/>
        <w:spacing w:after="120" w:before="300"/>
      </w:pPr>
      <w:r>
        <w:rPr>
          <w:rFonts w:ascii="Arial" w:cs="Arial" w:eastAsia="Arial" w:hAnsi="Arial"/>
          <w:b/>
          <w:bCs/>
          <w:color w:val="E31937"/>
          <w:sz w:val="24"/>
          <w:szCs w:val="24"/>
        </w:rPr>
        <w:t xml:space="preserve">EPIC-11  </w:t>
      </w:r>
      <w:r>
        <w:rPr>
          <w:rFonts w:ascii="Arial" w:cs="Arial" w:eastAsia="Arial" w:hAnsi="Arial"/>
          <w:b/>
          <w:bCs/>
          <w:color w:val="1B2A4A"/>
          <w:sz w:val="24"/>
          <w:szCs w:val="24"/>
        </w:rPr>
        <w:t xml:space="preserve">Alert Engine &amp; Notification System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none" w:sz="0"/>
              <w:left w:val="none" w:sz="0"/>
              <w:bottom w:val="none" w:sz="0"/>
              <w:right w:val="none" w:sz="0"/>
            </w:tcBorders>
            <w:shd w:fill="E6F4EA"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Phase: </w:t>
            </w:r>
            <w:r>
              <w:rPr>
                <w:rFonts w:ascii="Arial" w:cs="Arial" w:eastAsia="Arial" w:hAnsi="Arial"/>
                <w:color w:val="333333"/>
                <w:sz w:val="17"/>
                <w:szCs w:val="17"/>
              </w:rPr>
              <w:t xml:space="preserve">Phase 2</w:t>
            </w:r>
          </w:p>
        </w:tc>
        <w:tc>
          <w:tcPr>
            <w:tcW w:type="dxa" w:w="2460"/>
            <w:tcBorders>
              <w:top w:val="none" w:sz="0"/>
              <w:left w:val="none" w:sz="0"/>
              <w:bottom w:val="none" w:sz="0"/>
              <w:right w:val="none" w:sz="0"/>
            </w:tcBorders>
            <w:shd w:fill="E6F4EA"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Priority: </w:t>
            </w:r>
            <w:r>
              <w:rPr>
                <w:rFonts w:ascii="Arial" w:cs="Arial" w:eastAsia="Arial" w:hAnsi="Arial"/>
                <w:color w:val="333333"/>
                <w:sz w:val="17"/>
                <w:szCs w:val="17"/>
              </w:rPr>
              <w:t xml:space="preserve">P1</w:t>
            </w:r>
          </w:p>
        </w:tc>
        <w:tc>
          <w:tcPr>
            <w:tcW w:type="dxa" w:w="2460"/>
            <w:tcBorders>
              <w:top w:val="none" w:sz="0"/>
              <w:left w:val="none" w:sz="0"/>
              <w:bottom w:val="none" w:sz="0"/>
              <w:right w:val="none" w:sz="0"/>
            </w:tcBorders>
            <w:shd w:fill="E6F4EA"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Effort: </w:t>
            </w:r>
            <w:r>
              <w:rPr>
                <w:rFonts w:ascii="Arial" w:cs="Arial" w:eastAsia="Arial" w:hAnsi="Arial"/>
                <w:color w:val="333333"/>
                <w:sz w:val="17"/>
                <w:szCs w:val="17"/>
              </w:rPr>
              <w:t xml:space="preserve">1-2 weeks</w:t>
            </w:r>
          </w:p>
        </w:tc>
        <w:tc>
          <w:tcPr>
            <w:tcW w:type="dxa" w:w="2460"/>
            <w:tcBorders>
              <w:top w:val="none" w:sz="0"/>
              <w:left w:val="none" w:sz="0"/>
              <w:bottom w:val="none" w:sz="0"/>
              <w:right w:val="none" w:sz="0"/>
            </w:tcBorders>
            <w:shd w:fill="E6F4EA"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ADRs: </w:t>
            </w:r>
            <w:r>
              <w:rPr>
                <w:rFonts w:ascii="Arial" w:cs="Arial" w:eastAsia="Arial" w:hAnsi="Arial"/>
                <w:color w:val="333333"/>
                <w:sz w:val="17"/>
                <w:szCs w:val="17"/>
              </w:rPr>
              <w:t xml:space="preserve">ADR-001 (Section 4)</w:t>
            </w:r>
          </w:p>
        </w:tc>
      </w:tr>
    </w:tbl>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Real-time alert evaluation engine that runs after every ETL refresh. Evaluates the 8 financial alert rules plus 6 capacity alert rules against materialized view data. Surfaces alerts as a notification bell in the navigation, a dedicated alerts page with history, and optional email/Slack webhook delivery. Each alert shows severity, affected entity, threshold breached, current value, and recommended action.</w:t>
      </w:r>
    </w:p>
    <w:p>
      <w:pPr>
        <w:spacing w:after="120"/>
      </w:pPr>
      <w:r>
        <w:rPr>
          <w:rFonts w:ascii="Arial" w:cs="Arial" w:eastAsia="Arial" w:hAnsi="Arial"/>
          <w:b/>
          <w:bCs/>
          <w:color w:val="333333"/>
          <w:sz w:val="20"/>
          <w:szCs w:val="20"/>
        </w:rPr>
        <w:t xml:space="preserve">Depends on: </w:t>
      </w:r>
      <w:r>
        <w:rPr>
          <w:rFonts w:ascii="Arial" w:cs="Arial" w:eastAsia="Arial" w:hAnsi="Arial"/>
          <w:color w:val="333333"/>
          <w:sz w:val="20"/>
          <w:szCs w:val="20"/>
        </w:rPr>
        <w:t xml:space="preserve">EPIC-01, EPIC-02</w:t>
      </w:r>
    </w:p>
    <w:p>
      <w:pPr>
        <w:spacing w:after="120"/>
      </w:pPr>
      <w:r>
        <w:rPr>
          <w:rFonts w:ascii="Arial" w:cs="Arial" w:eastAsia="Arial" w:hAnsi="Arial"/>
          <w:b/>
          <w:bCs/>
          <w:color w:val="E31937"/>
          <w:sz w:val="20"/>
          <w:szCs w:val="20"/>
        </w:rPr>
        <w:t xml:space="preserve">Replaces: </w:t>
      </w:r>
      <w:r>
        <w:rPr>
          <w:rFonts w:ascii="Arial" w:cs="Arial" w:eastAsia="Arial" w:hAnsi="Arial"/>
          <w:i/>
          <w:iCs/>
          <w:color w:val="666666"/>
          <w:sz w:val="20"/>
          <w:szCs w:val="20"/>
        </w:rPr>
        <w:t xml:space="preserve">Manual monitoring in Power BI</w:t>
      </w:r>
    </w:p>
    <w:p>
      <w:pPr>
        <w:pStyle w:val="Heading3"/>
      </w:pPr>
      <w:r>
        <w:rPr>
          <w:rFonts w:ascii="Arial" w:cs="Arial" w:eastAsia="Arial" w:hAnsi="Arial"/>
          <w:b/>
          <w:bCs/>
          <w:color w:val="555555"/>
          <w:sz w:val="20"/>
          <w:szCs w:val="20"/>
        </w:rPr>
        <w:t xml:space="preserve">Key Deliverables</w:t>
      </w:r>
    </w:p>
    <w:p>
      <w:pPr>
        <w:pStyle w:val="ListParagraph"/>
        <w:numPr>
          <w:ilvl w:val="0"/>
          <w:numId w:val="2"/>
        </w:numPr>
        <w:spacing w:after="60"/>
      </w:pPr>
      <w:r>
        <w:rPr>
          <w:rFonts w:ascii="Arial" w:cs="Arial" w:eastAsia="Arial" w:hAnsi="Arial"/>
          <w:color w:val="333333"/>
          <w:sz w:val="19"/>
          <w:szCs w:val="19"/>
        </w:rPr>
        <w:t xml:space="preserve">Alert evaluation engine (post-ETL trigger)</w:t>
      </w:r>
    </w:p>
    <w:p>
      <w:pPr>
        <w:pStyle w:val="ListParagraph"/>
        <w:numPr>
          <w:ilvl w:val="0"/>
          <w:numId w:val="2"/>
        </w:numPr>
        <w:spacing w:after="60"/>
      </w:pPr>
      <w:r>
        <w:rPr>
          <w:rFonts w:ascii="Arial" w:cs="Arial" w:eastAsia="Arial" w:hAnsi="Arial"/>
          <w:color w:val="333333"/>
          <w:sz w:val="19"/>
          <w:szCs w:val="19"/>
        </w:rPr>
        <w:t xml:space="preserve">14 pre-configured alert rules (8 financial + 6 capacity)</w:t>
      </w:r>
    </w:p>
    <w:p>
      <w:pPr>
        <w:pStyle w:val="ListParagraph"/>
        <w:numPr>
          <w:ilvl w:val="0"/>
          <w:numId w:val="2"/>
        </w:numPr>
        <w:spacing w:after="60"/>
      </w:pPr>
      <w:r>
        <w:rPr>
          <w:rFonts w:ascii="Arial" w:cs="Arial" w:eastAsia="Arial" w:hAnsi="Arial"/>
          <w:color w:val="333333"/>
          <w:sz w:val="19"/>
          <w:szCs w:val="19"/>
        </w:rPr>
        <w:t xml:space="preserve">Notification bell with unread count</w:t>
      </w:r>
    </w:p>
    <w:p>
      <w:pPr>
        <w:pStyle w:val="ListParagraph"/>
        <w:numPr>
          <w:ilvl w:val="0"/>
          <w:numId w:val="2"/>
        </w:numPr>
        <w:spacing w:after="60"/>
      </w:pPr>
      <w:r>
        <w:rPr>
          <w:rFonts w:ascii="Arial" w:cs="Arial" w:eastAsia="Arial" w:hAnsi="Arial"/>
          <w:color w:val="333333"/>
          <w:sz w:val="19"/>
          <w:szCs w:val="19"/>
        </w:rPr>
        <w:t xml:space="preserve">Alerts page with history and filtering</w:t>
      </w:r>
    </w:p>
    <w:p>
      <w:pPr>
        <w:pStyle w:val="ListParagraph"/>
        <w:numPr>
          <w:ilvl w:val="0"/>
          <w:numId w:val="2"/>
        </w:numPr>
        <w:spacing w:after="60"/>
      </w:pPr>
      <w:r>
        <w:rPr>
          <w:rFonts w:ascii="Arial" w:cs="Arial" w:eastAsia="Arial" w:hAnsi="Arial"/>
          <w:color w:val="333333"/>
          <w:sz w:val="19"/>
          <w:szCs w:val="19"/>
        </w:rPr>
        <w:t xml:space="preserve">Alert severity levels (info, warning, critical)</w:t>
      </w:r>
    </w:p>
    <w:p>
      <w:pPr>
        <w:pStyle w:val="ListParagraph"/>
        <w:numPr>
          <w:ilvl w:val="0"/>
          <w:numId w:val="2"/>
        </w:numPr>
        <w:spacing w:after="60"/>
      </w:pPr>
      <w:r>
        <w:rPr>
          <w:rFonts w:ascii="Arial" w:cs="Arial" w:eastAsia="Arial" w:hAnsi="Arial"/>
          <w:color w:val="333333"/>
          <w:sz w:val="19"/>
          <w:szCs w:val="19"/>
        </w:rPr>
        <w:t xml:space="preserve">Email notification delivery (optional)</w:t>
      </w:r>
    </w:p>
    <w:p>
      <w:pPr>
        <w:pStyle w:val="ListParagraph"/>
        <w:numPr>
          <w:ilvl w:val="0"/>
          <w:numId w:val="2"/>
        </w:numPr>
        <w:spacing w:after="60"/>
      </w:pPr>
      <w:r>
        <w:rPr>
          <w:rFonts w:ascii="Arial" w:cs="Arial" w:eastAsia="Arial" w:hAnsi="Arial"/>
          <w:color w:val="333333"/>
          <w:sz w:val="19"/>
          <w:szCs w:val="19"/>
        </w:rPr>
        <w:t xml:space="preserve">Slack webhook integration (optional)</w:t>
      </w:r>
    </w:p>
    <w:p>
      <w:pPr>
        <w:pStyle w:val="ListParagraph"/>
        <w:numPr>
          <w:ilvl w:val="0"/>
          <w:numId w:val="2"/>
        </w:numPr>
        <w:spacing w:after="60"/>
      </w:pPr>
      <w:r>
        <w:rPr>
          <w:rFonts w:ascii="Arial" w:cs="Arial" w:eastAsia="Arial" w:hAnsi="Arial"/>
          <w:color w:val="333333"/>
          <w:sz w:val="19"/>
          <w:szCs w:val="19"/>
        </w:rPr>
        <w:t xml:space="preserve">Alert acknowledgment and snooze</w:t>
      </w:r>
    </w:p>
    <w:p>
      <w:pPr>
        <w:spacing w:after="120"/>
      </w:pPr>
      <w:r>
        <w:rPr>
          <w:rFonts w:ascii="Arial" w:cs="Arial" w:eastAsia="Arial" w:hAnsi="Arial"/>
          <w:b w:val="false"/>
          <w:bCs w:val="false"/>
          <w:i w:val="false"/>
          <w:iCs w:val="false"/>
          <w:color w:val="333333"/>
          <w:sz w:val="20"/>
          <w:szCs w:val="20"/>
        </w:rPr>
        <w:t xml:space="preserve"/>
      </w:r>
    </w:p>
    <w:p>
      <w:pPr>
        <w:pStyle w:val="Heading2"/>
        <w:spacing w:after="120" w:before="300"/>
      </w:pPr>
      <w:r>
        <w:rPr>
          <w:rFonts w:ascii="Arial" w:cs="Arial" w:eastAsia="Arial" w:hAnsi="Arial"/>
          <w:b/>
          <w:bCs/>
          <w:color w:val="E31937"/>
          <w:sz w:val="24"/>
          <w:szCs w:val="24"/>
        </w:rPr>
        <w:t xml:space="preserve">EPIC-12  </w:t>
      </w:r>
      <w:r>
        <w:rPr>
          <w:rFonts w:ascii="Arial" w:cs="Arial" w:eastAsia="Arial" w:hAnsi="Arial"/>
          <w:b/>
          <w:bCs/>
          <w:color w:val="1B2A4A"/>
          <w:sz w:val="24"/>
          <w:szCs w:val="24"/>
        </w:rPr>
        <w:t xml:space="preserve">ML Pipeline Foundation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none" w:sz="0"/>
              <w:left w:val="none" w:sz="0"/>
              <w:bottom w:val="none" w:sz="0"/>
              <w:right w:val="none" w:sz="0"/>
            </w:tcBorders>
            <w:shd w:fill="FFF8E1"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Phase: </w:t>
            </w:r>
            <w:r>
              <w:rPr>
                <w:rFonts w:ascii="Arial" w:cs="Arial" w:eastAsia="Arial" w:hAnsi="Arial"/>
                <w:color w:val="333333"/>
                <w:sz w:val="17"/>
                <w:szCs w:val="17"/>
              </w:rPr>
              <w:t xml:space="preserve">Phase 3</w:t>
            </w:r>
          </w:p>
        </w:tc>
        <w:tc>
          <w:tcPr>
            <w:tcW w:type="dxa" w:w="2460"/>
            <w:tcBorders>
              <w:top w:val="none" w:sz="0"/>
              <w:left w:val="none" w:sz="0"/>
              <w:bottom w:val="none" w:sz="0"/>
              <w:right w:val="none" w:sz="0"/>
            </w:tcBorders>
            <w:shd w:fill="FFF8E1"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Priority: </w:t>
            </w:r>
            <w:r>
              <w:rPr>
                <w:rFonts w:ascii="Arial" w:cs="Arial" w:eastAsia="Arial" w:hAnsi="Arial"/>
                <w:color w:val="333333"/>
                <w:sz w:val="17"/>
                <w:szCs w:val="17"/>
              </w:rPr>
              <w:t xml:space="preserve">P2</w:t>
            </w:r>
          </w:p>
        </w:tc>
        <w:tc>
          <w:tcPr>
            <w:tcW w:type="dxa" w:w="2460"/>
            <w:tcBorders>
              <w:top w:val="none" w:sz="0"/>
              <w:left w:val="none" w:sz="0"/>
              <w:bottom w:val="none" w:sz="0"/>
              <w:right w:val="none" w:sz="0"/>
            </w:tcBorders>
            <w:shd w:fill="FFF8E1"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Effort: </w:t>
            </w:r>
            <w:r>
              <w:rPr>
                <w:rFonts w:ascii="Arial" w:cs="Arial" w:eastAsia="Arial" w:hAnsi="Arial"/>
                <w:color w:val="333333"/>
                <w:sz w:val="17"/>
                <w:szCs w:val="17"/>
              </w:rPr>
              <w:t xml:space="preserve">2-3 weeks</w:t>
            </w:r>
          </w:p>
        </w:tc>
        <w:tc>
          <w:tcPr>
            <w:tcW w:type="dxa" w:w="2460"/>
            <w:tcBorders>
              <w:top w:val="none" w:sz="0"/>
              <w:left w:val="none" w:sz="0"/>
              <w:bottom w:val="none" w:sz="0"/>
              <w:right w:val="none" w:sz="0"/>
            </w:tcBorders>
            <w:shd w:fill="FFF8E1"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ADRs: </w:t>
            </w:r>
            <w:r>
              <w:rPr>
                <w:rFonts w:ascii="Arial" w:cs="Arial" w:eastAsia="Arial" w:hAnsi="Arial"/>
                <w:color w:val="333333"/>
                <w:sz w:val="17"/>
                <w:szCs w:val="17"/>
              </w:rPr>
              <w:t xml:space="preserve">ADR-002, ADR-003</w:t>
            </w:r>
          </w:p>
        </w:tc>
      </w:tr>
    </w:tbl>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Set up the Python ML infrastructure from ADR-002: MLflow with SQLite backend for experiment tracking, feature store as materialized PostgreSQL views (14 key features), model registry, and system cron-based training/scoring pipeline. This is the foundation for all predictive models. Models train on historical data, write predictions to dedicated prediction tables, and surface results to the dashboard via API endpoints.</w:t>
      </w:r>
    </w:p>
    <w:p>
      <w:pPr>
        <w:spacing w:after="120"/>
      </w:pPr>
      <w:r>
        <w:rPr>
          <w:rFonts w:ascii="Arial" w:cs="Arial" w:eastAsia="Arial" w:hAnsi="Arial"/>
          <w:b/>
          <w:bCs/>
          <w:color w:val="333333"/>
          <w:sz w:val="20"/>
          <w:szCs w:val="20"/>
        </w:rPr>
        <w:t xml:space="preserve">Depends on: </w:t>
      </w:r>
      <w:r>
        <w:rPr>
          <w:rFonts w:ascii="Arial" w:cs="Arial" w:eastAsia="Arial" w:hAnsi="Arial"/>
          <w:color w:val="333333"/>
          <w:sz w:val="20"/>
          <w:szCs w:val="20"/>
        </w:rPr>
        <w:t xml:space="preserve">EPIC-01</w:t>
      </w:r>
    </w:p>
    <w:p>
      <w:pPr>
        <w:spacing w:after="120"/>
      </w:pPr>
      <w:r>
        <w:rPr>
          <w:rFonts w:ascii="Arial" w:cs="Arial" w:eastAsia="Arial" w:hAnsi="Arial"/>
          <w:b/>
          <w:bCs/>
          <w:color w:val="E31937"/>
          <w:sz w:val="20"/>
          <w:szCs w:val="20"/>
        </w:rPr>
        <w:t xml:space="preserve">Replaces: </w:t>
      </w:r>
      <w:r>
        <w:rPr>
          <w:rFonts w:ascii="Arial" w:cs="Arial" w:eastAsia="Arial" w:hAnsi="Arial"/>
          <w:i/>
          <w:iCs/>
          <w:color w:val="666666"/>
          <w:sz w:val="20"/>
          <w:szCs w:val="20"/>
        </w:rPr>
        <w:t xml:space="preserve">N/A (new capability)</w:t>
      </w:r>
    </w:p>
    <w:p>
      <w:pPr>
        <w:pStyle w:val="Heading3"/>
      </w:pPr>
      <w:r>
        <w:rPr>
          <w:rFonts w:ascii="Arial" w:cs="Arial" w:eastAsia="Arial" w:hAnsi="Arial"/>
          <w:b/>
          <w:bCs/>
          <w:color w:val="555555"/>
          <w:sz w:val="20"/>
          <w:szCs w:val="20"/>
        </w:rPr>
        <w:t xml:space="preserve">Key Deliverables</w:t>
      </w:r>
    </w:p>
    <w:p>
      <w:pPr>
        <w:pStyle w:val="ListParagraph"/>
        <w:numPr>
          <w:ilvl w:val="0"/>
          <w:numId w:val="2"/>
        </w:numPr>
        <w:spacing w:after="60"/>
      </w:pPr>
      <w:r>
        <w:rPr>
          <w:rFonts w:ascii="Arial" w:cs="Arial" w:eastAsia="Arial" w:hAnsi="Arial"/>
          <w:color w:val="333333"/>
          <w:sz w:val="19"/>
          <w:szCs w:val="19"/>
        </w:rPr>
        <w:t xml:space="preserve">MLflow experiment tracking (SQLite backend)</w:t>
      </w:r>
    </w:p>
    <w:p>
      <w:pPr>
        <w:pStyle w:val="ListParagraph"/>
        <w:numPr>
          <w:ilvl w:val="0"/>
          <w:numId w:val="2"/>
        </w:numPr>
        <w:spacing w:after="60"/>
      </w:pPr>
      <w:r>
        <w:rPr>
          <w:rFonts w:ascii="Arial" w:cs="Arial" w:eastAsia="Arial" w:hAnsi="Arial"/>
          <w:color w:val="333333"/>
          <w:sz w:val="19"/>
          <w:szCs w:val="19"/>
        </w:rPr>
        <w:t xml:space="preserve">Feature store (14 features as materialized views)</w:t>
      </w:r>
    </w:p>
    <w:p>
      <w:pPr>
        <w:pStyle w:val="ListParagraph"/>
        <w:numPr>
          <w:ilvl w:val="0"/>
          <w:numId w:val="2"/>
        </w:numPr>
        <w:spacing w:after="60"/>
      </w:pPr>
      <w:r>
        <w:rPr>
          <w:rFonts w:ascii="Arial" w:cs="Arial" w:eastAsia="Arial" w:hAnsi="Arial"/>
          <w:color w:val="333333"/>
          <w:sz w:val="19"/>
          <w:szCs w:val="19"/>
        </w:rPr>
        <w:t xml:space="preserve">Model registry with versioning</w:t>
      </w:r>
    </w:p>
    <w:p>
      <w:pPr>
        <w:pStyle w:val="ListParagraph"/>
        <w:numPr>
          <w:ilvl w:val="0"/>
          <w:numId w:val="2"/>
        </w:numPr>
        <w:spacing w:after="60"/>
      </w:pPr>
      <w:r>
        <w:rPr>
          <w:rFonts w:ascii="Arial" w:cs="Arial" w:eastAsia="Arial" w:hAnsi="Arial"/>
          <w:color w:val="333333"/>
          <w:sz w:val="19"/>
          <w:szCs w:val="19"/>
        </w:rPr>
        <w:t xml:space="preserve">Cron-based training pipeline</w:t>
      </w:r>
    </w:p>
    <w:p>
      <w:pPr>
        <w:pStyle w:val="ListParagraph"/>
        <w:numPr>
          <w:ilvl w:val="0"/>
          <w:numId w:val="2"/>
        </w:numPr>
        <w:spacing w:after="60"/>
      </w:pPr>
      <w:r>
        <w:rPr>
          <w:rFonts w:ascii="Arial" w:cs="Arial" w:eastAsia="Arial" w:hAnsi="Arial"/>
          <w:color w:val="333333"/>
          <w:sz w:val="19"/>
          <w:szCs w:val="19"/>
        </w:rPr>
        <w:t xml:space="preserve">Cron-based scoring pipeline</w:t>
      </w:r>
    </w:p>
    <w:p>
      <w:pPr>
        <w:pStyle w:val="ListParagraph"/>
        <w:numPr>
          <w:ilvl w:val="0"/>
          <w:numId w:val="2"/>
        </w:numPr>
        <w:spacing w:after="60"/>
      </w:pPr>
      <w:r>
        <w:rPr>
          <w:rFonts w:ascii="Arial" w:cs="Arial" w:eastAsia="Arial" w:hAnsi="Arial"/>
          <w:color w:val="333333"/>
          <w:sz w:val="19"/>
          <w:szCs w:val="19"/>
        </w:rPr>
        <w:t xml:space="preserve">Prediction output tables (pred_revenue, pred_margin_risk, etc.)</w:t>
      </w:r>
    </w:p>
    <w:p>
      <w:pPr>
        <w:pStyle w:val="ListParagraph"/>
        <w:numPr>
          <w:ilvl w:val="0"/>
          <w:numId w:val="2"/>
        </w:numPr>
        <w:spacing w:after="60"/>
      </w:pPr>
      <w:r>
        <w:rPr>
          <w:rFonts w:ascii="Arial" w:cs="Arial" w:eastAsia="Arial" w:hAnsi="Arial"/>
          <w:color w:val="333333"/>
          <w:sz w:val="19"/>
          <w:szCs w:val="19"/>
        </w:rPr>
        <w:t xml:space="preserve">API endpoints for prediction results</w:t>
      </w:r>
    </w:p>
    <w:p>
      <w:pPr>
        <w:pStyle w:val="ListParagraph"/>
        <w:numPr>
          <w:ilvl w:val="0"/>
          <w:numId w:val="2"/>
        </w:numPr>
        <w:spacing w:after="60"/>
      </w:pPr>
      <w:r>
        <w:rPr>
          <w:rFonts w:ascii="Arial" w:cs="Arial" w:eastAsia="Arial" w:hAnsi="Arial"/>
          <w:color w:val="333333"/>
          <w:sz w:val="19"/>
          <w:szCs w:val="19"/>
        </w:rPr>
        <w:t xml:space="preserve">Model performance monitoring dashboard</w:t>
      </w:r>
    </w:p>
    <w:p>
      <w:pPr>
        <w:spacing w:after="120"/>
      </w:pPr>
      <w:r>
        <w:rPr>
          <w:rFonts w:ascii="Arial" w:cs="Arial" w:eastAsia="Arial" w:hAnsi="Arial"/>
          <w:b w:val="false"/>
          <w:bCs w:val="false"/>
          <w:i w:val="false"/>
          <w:iCs w:val="false"/>
          <w:color w:val="333333"/>
          <w:sz w:val="20"/>
          <w:szCs w:val="20"/>
        </w:rPr>
        <w:t xml:space="preserve"/>
      </w:r>
    </w:p>
    <w:p>
      <w:pPr>
        <w:pStyle w:val="Heading2"/>
        <w:spacing w:after="120" w:before="300"/>
      </w:pPr>
      <w:r>
        <w:rPr>
          <w:rFonts w:ascii="Arial" w:cs="Arial" w:eastAsia="Arial" w:hAnsi="Arial"/>
          <w:b/>
          <w:bCs/>
          <w:color w:val="E31937"/>
          <w:sz w:val="24"/>
          <w:szCs w:val="24"/>
        </w:rPr>
        <w:t xml:space="preserve">EPIC-13  </w:t>
      </w:r>
      <w:r>
        <w:rPr>
          <w:rFonts w:ascii="Arial" w:cs="Arial" w:eastAsia="Arial" w:hAnsi="Arial"/>
          <w:b/>
          <w:bCs/>
          <w:color w:val="1B2A4A"/>
          <w:sz w:val="24"/>
          <w:szCs w:val="24"/>
        </w:rPr>
        <w:t xml:space="preserve">Revenue &amp; Margin Predictions (UC-1, UC-2)</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none" w:sz="0"/>
              <w:left w:val="none" w:sz="0"/>
              <w:bottom w:val="none" w:sz="0"/>
              <w:right w:val="none" w:sz="0"/>
            </w:tcBorders>
            <w:shd w:fill="FFF8E1"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Phase: </w:t>
            </w:r>
            <w:r>
              <w:rPr>
                <w:rFonts w:ascii="Arial" w:cs="Arial" w:eastAsia="Arial" w:hAnsi="Arial"/>
                <w:color w:val="333333"/>
                <w:sz w:val="17"/>
                <w:szCs w:val="17"/>
              </w:rPr>
              <w:t xml:space="preserve">Phase 3</w:t>
            </w:r>
          </w:p>
        </w:tc>
        <w:tc>
          <w:tcPr>
            <w:tcW w:type="dxa" w:w="2460"/>
            <w:tcBorders>
              <w:top w:val="none" w:sz="0"/>
              <w:left w:val="none" w:sz="0"/>
              <w:bottom w:val="none" w:sz="0"/>
              <w:right w:val="none" w:sz="0"/>
            </w:tcBorders>
            <w:shd w:fill="FFF8E1"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Priority: </w:t>
            </w:r>
            <w:r>
              <w:rPr>
                <w:rFonts w:ascii="Arial" w:cs="Arial" w:eastAsia="Arial" w:hAnsi="Arial"/>
                <w:color w:val="333333"/>
                <w:sz w:val="17"/>
                <w:szCs w:val="17"/>
              </w:rPr>
              <w:t xml:space="preserve">P2</w:t>
            </w:r>
          </w:p>
        </w:tc>
        <w:tc>
          <w:tcPr>
            <w:tcW w:type="dxa" w:w="2460"/>
            <w:tcBorders>
              <w:top w:val="none" w:sz="0"/>
              <w:left w:val="none" w:sz="0"/>
              <w:bottom w:val="none" w:sz="0"/>
              <w:right w:val="none" w:sz="0"/>
            </w:tcBorders>
            <w:shd w:fill="FFF8E1"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Effort: </w:t>
            </w:r>
            <w:r>
              <w:rPr>
                <w:rFonts w:ascii="Arial" w:cs="Arial" w:eastAsia="Arial" w:hAnsi="Arial"/>
                <w:color w:val="333333"/>
                <w:sz w:val="17"/>
                <w:szCs w:val="17"/>
              </w:rPr>
              <w:t xml:space="preserve">2-3 weeks</w:t>
            </w:r>
          </w:p>
        </w:tc>
        <w:tc>
          <w:tcPr>
            <w:tcW w:type="dxa" w:w="2460"/>
            <w:tcBorders>
              <w:top w:val="none" w:sz="0"/>
              <w:left w:val="none" w:sz="0"/>
              <w:bottom w:val="none" w:sz="0"/>
              <w:right w:val="none" w:sz="0"/>
            </w:tcBorders>
            <w:shd w:fill="FFF8E1"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ADRs: </w:t>
            </w:r>
            <w:r>
              <w:rPr>
                <w:rFonts w:ascii="Arial" w:cs="Arial" w:eastAsia="Arial" w:hAnsi="Arial"/>
                <w:color w:val="333333"/>
                <w:sz w:val="17"/>
                <w:szCs w:val="17"/>
              </w:rPr>
              <w:t xml:space="preserve">ADR-002 (UC-1, UC-2)</w:t>
            </w:r>
          </w:p>
        </w:tc>
      </w:tr>
    </w:tbl>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First predictive models: (UC-1) Prophet + LightGBM ensemble for revenue forecasting with confidence intervals, and (UC-2) LightGBM classifier + SHAP for margin erosion early warning. Revenue predictions surface on the Financial Overview as a "model forecast" overlay alongside human forecasts. Margin risk predictions appear as client-level risk badges on the scorecard grid.</w:t>
      </w:r>
    </w:p>
    <w:p>
      <w:pPr>
        <w:spacing w:after="120"/>
      </w:pPr>
      <w:r>
        <w:rPr>
          <w:rFonts w:ascii="Arial" w:cs="Arial" w:eastAsia="Arial" w:hAnsi="Arial"/>
          <w:b/>
          <w:bCs/>
          <w:color w:val="333333"/>
          <w:sz w:val="20"/>
          <w:szCs w:val="20"/>
        </w:rPr>
        <w:t xml:space="preserve">Depends on: </w:t>
      </w:r>
      <w:r>
        <w:rPr>
          <w:rFonts w:ascii="Arial" w:cs="Arial" w:eastAsia="Arial" w:hAnsi="Arial"/>
          <w:color w:val="333333"/>
          <w:sz w:val="20"/>
          <w:szCs w:val="20"/>
        </w:rPr>
        <w:t xml:space="preserve">EPIC-12, EPIC-04</w:t>
      </w:r>
    </w:p>
    <w:p>
      <w:pPr>
        <w:spacing w:after="120"/>
      </w:pPr>
      <w:r>
        <w:rPr>
          <w:rFonts w:ascii="Arial" w:cs="Arial" w:eastAsia="Arial" w:hAnsi="Arial"/>
          <w:b/>
          <w:bCs/>
          <w:color w:val="E31937"/>
          <w:sz w:val="20"/>
          <w:szCs w:val="20"/>
        </w:rPr>
        <w:t xml:space="preserve">Replaces: </w:t>
      </w:r>
      <w:r>
        <w:rPr>
          <w:rFonts w:ascii="Arial" w:cs="Arial" w:eastAsia="Arial" w:hAnsi="Arial"/>
          <w:i/>
          <w:iCs/>
          <w:color w:val="666666"/>
          <w:sz w:val="20"/>
          <w:szCs w:val="20"/>
        </w:rPr>
        <w:t xml:space="preserve">N/A (new capability)</w:t>
      </w:r>
    </w:p>
    <w:p>
      <w:pPr>
        <w:pStyle w:val="Heading3"/>
      </w:pPr>
      <w:r>
        <w:rPr>
          <w:rFonts w:ascii="Arial" w:cs="Arial" w:eastAsia="Arial" w:hAnsi="Arial"/>
          <w:b/>
          <w:bCs/>
          <w:color w:val="555555"/>
          <w:sz w:val="20"/>
          <w:szCs w:val="20"/>
        </w:rPr>
        <w:t xml:space="preserve">Key Deliverables</w:t>
      </w:r>
    </w:p>
    <w:p>
      <w:pPr>
        <w:pStyle w:val="ListParagraph"/>
        <w:numPr>
          <w:ilvl w:val="0"/>
          <w:numId w:val="2"/>
        </w:numPr>
        <w:spacing w:after="60"/>
      </w:pPr>
      <w:r>
        <w:rPr>
          <w:rFonts w:ascii="Arial" w:cs="Arial" w:eastAsia="Arial" w:hAnsi="Arial"/>
          <w:color w:val="333333"/>
          <w:sz w:val="19"/>
          <w:szCs w:val="19"/>
        </w:rPr>
        <w:t xml:space="preserve">Revenue forecast model (Prophet + LightGBM ensemble)</w:t>
      </w:r>
    </w:p>
    <w:p>
      <w:pPr>
        <w:pStyle w:val="ListParagraph"/>
        <w:numPr>
          <w:ilvl w:val="0"/>
          <w:numId w:val="2"/>
        </w:numPr>
        <w:spacing w:after="60"/>
      </w:pPr>
      <w:r>
        <w:rPr>
          <w:rFonts w:ascii="Arial" w:cs="Arial" w:eastAsia="Arial" w:hAnsi="Arial"/>
          <w:color w:val="333333"/>
          <w:sz w:val="19"/>
          <w:szCs w:val="19"/>
        </w:rPr>
        <w:t xml:space="preserve">80% and 95% confidence interval bands</w:t>
      </w:r>
    </w:p>
    <w:p>
      <w:pPr>
        <w:pStyle w:val="ListParagraph"/>
        <w:numPr>
          <w:ilvl w:val="0"/>
          <w:numId w:val="2"/>
        </w:numPr>
        <w:spacing w:after="60"/>
      </w:pPr>
      <w:r>
        <w:rPr>
          <w:rFonts w:ascii="Arial" w:cs="Arial" w:eastAsia="Arial" w:hAnsi="Arial"/>
          <w:color w:val="333333"/>
          <w:sz w:val="19"/>
          <w:szCs w:val="19"/>
        </w:rPr>
        <w:t xml:space="preserve">Human forecast vs. model forecast comparison</w:t>
      </w:r>
    </w:p>
    <w:p>
      <w:pPr>
        <w:pStyle w:val="ListParagraph"/>
        <w:numPr>
          <w:ilvl w:val="0"/>
          <w:numId w:val="2"/>
        </w:numPr>
        <w:spacing w:after="60"/>
      </w:pPr>
      <w:r>
        <w:rPr>
          <w:rFonts w:ascii="Arial" w:cs="Arial" w:eastAsia="Arial" w:hAnsi="Arial"/>
          <w:color w:val="333333"/>
          <w:sz w:val="19"/>
          <w:szCs w:val="19"/>
        </w:rPr>
        <w:t xml:space="preserve">Margin risk classifier (LightGBM + SHAP)</w:t>
      </w:r>
    </w:p>
    <w:p>
      <w:pPr>
        <w:pStyle w:val="ListParagraph"/>
        <w:numPr>
          <w:ilvl w:val="0"/>
          <w:numId w:val="2"/>
        </w:numPr>
        <w:spacing w:after="60"/>
      </w:pPr>
      <w:r>
        <w:rPr>
          <w:rFonts w:ascii="Arial" w:cs="Arial" w:eastAsia="Arial" w:hAnsi="Arial"/>
          <w:color w:val="333333"/>
          <w:sz w:val="19"/>
          <w:szCs w:val="19"/>
        </w:rPr>
        <w:t xml:space="preserve">Client-level risk badges (green/yellow/red)</w:t>
      </w:r>
    </w:p>
    <w:p>
      <w:pPr>
        <w:pStyle w:val="ListParagraph"/>
        <w:numPr>
          <w:ilvl w:val="0"/>
          <w:numId w:val="2"/>
        </w:numPr>
        <w:spacing w:after="60"/>
      </w:pPr>
      <w:r>
        <w:rPr>
          <w:rFonts w:ascii="Arial" w:cs="Arial" w:eastAsia="Arial" w:hAnsi="Arial"/>
          <w:color w:val="333333"/>
          <w:sz w:val="19"/>
          <w:szCs w:val="19"/>
        </w:rPr>
        <w:t xml:space="preserve">SHAP explainability for each risk score</w:t>
      </w:r>
    </w:p>
    <w:p>
      <w:pPr>
        <w:pStyle w:val="ListParagraph"/>
        <w:numPr>
          <w:ilvl w:val="0"/>
          <w:numId w:val="2"/>
        </w:numPr>
        <w:spacing w:after="60"/>
      </w:pPr>
      <w:r>
        <w:rPr>
          <w:rFonts w:ascii="Arial" w:cs="Arial" w:eastAsia="Arial" w:hAnsi="Arial"/>
          <w:color w:val="333333"/>
          <w:sz w:val="19"/>
          <w:szCs w:val="19"/>
        </w:rPr>
        <w:t xml:space="preserve">Model vs. human forecast accuracy tracking</w:t>
      </w:r>
    </w:p>
    <w:p>
      <w:pPr>
        <w:spacing w:after="120"/>
      </w:pPr>
      <w:r>
        <w:rPr>
          <w:rFonts w:ascii="Arial" w:cs="Arial" w:eastAsia="Arial" w:hAnsi="Arial"/>
          <w:b w:val="false"/>
          <w:bCs w:val="false"/>
          <w:i w:val="false"/>
          <w:iCs w:val="false"/>
          <w:color w:val="333333"/>
          <w:sz w:val="20"/>
          <w:szCs w:val="20"/>
        </w:rPr>
        <w:t xml:space="preserve"/>
      </w:r>
    </w:p>
    <w:p>
      <w:pPr>
        <w:pStyle w:val="Heading2"/>
        <w:spacing w:after="120" w:before="300"/>
      </w:pPr>
      <w:r>
        <w:rPr>
          <w:rFonts w:ascii="Arial" w:cs="Arial" w:eastAsia="Arial" w:hAnsi="Arial"/>
          <w:b/>
          <w:bCs/>
          <w:color w:val="E31937"/>
          <w:sz w:val="24"/>
          <w:szCs w:val="24"/>
        </w:rPr>
        <w:t xml:space="preserve">EPIC-14  </w:t>
      </w:r>
      <w:r>
        <w:rPr>
          <w:rFonts w:ascii="Arial" w:cs="Arial" w:eastAsia="Arial" w:hAnsi="Arial"/>
          <w:b/>
          <w:bCs/>
          <w:color w:val="1B2A4A"/>
          <w:sz w:val="24"/>
          <w:szCs w:val="24"/>
        </w:rPr>
        <w:t xml:space="preserve">Utilization &amp; Idle Predictions (UC-3, UC-8)</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none" w:sz="0"/>
              <w:left w:val="none" w:sz="0"/>
              <w:bottom w:val="none" w:sz="0"/>
              <w:right w:val="none" w:sz="0"/>
            </w:tcBorders>
            <w:shd w:fill="FFF8E1"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Phase: </w:t>
            </w:r>
            <w:r>
              <w:rPr>
                <w:rFonts w:ascii="Arial" w:cs="Arial" w:eastAsia="Arial" w:hAnsi="Arial"/>
                <w:color w:val="333333"/>
                <w:sz w:val="17"/>
                <w:szCs w:val="17"/>
              </w:rPr>
              <w:t xml:space="preserve">Phase 3</w:t>
            </w:r>
          </w:p>
        </w:tc>
        <w:tc>
          <w:tcPr>
            <w:tcW w:type="dxa" w:w="2460"/>
            <w:tcBorders>
              <w:top w:val="none" w:sz="0"/>
              <w:left w:val="none" w:sz="0"/>
              <w:bottom w:val="none" w:sz="0"/>
              <w:right w:val="none" w:sz="0"/>
            </w:tcBorders>
            <w:shd w:fill="FFF8E1"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Priority: </w:t>
            </w:r>
            <w:r>
              <w:rPr>
                <w:rFonts w:ascii="Arial" w:cs="Arial" w:eastAsia="Arial" w:hAnsi="Arial"/>
                <w:color w:val="333333"/>
                <w:sz w:val="17"/>
                <w:szCs w:val="17"/>
              </w:rPr>
              <w:t xml:space="preserve">P2</w:t>
            </w:r>
          </w:p>
        </w:tc>
        <w:tc>
          <w:tcPr>
            <w:tcW w:type="dxa" w:w="2460"/>
            <w:tcBorders>
              <w:top w:val="none" w:sz="0"/>
              <w:left w:val="none" w:sz="0"/>
              <w:bottom w:val="none" w:sz="0"/>
              <w:right w:val="none" w:sz="0"/>
            </w:tcBorders>
            <w:shd w:fill="FFF8E1"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Effort: </w:t>
            </w:r>
            <w:r>
              <w:rPr>
                <w:rFonts w:ascii="Arial" w:cs="Arial" w:eastAsia="Arial" w:hAnsi="Arial"/>
                <w:color w:val="333333"/>
                <w:sz w:val="17"/>
                <w:szCs w:val="17"/>
              </w:rPr>
              <w:t xml:space="preserve">2 weeks</w:t>
            </w:r>
          </w:p>
        </w:tc>
        <w:tc>
          <w:tcPr>
            <w:tcW w:type="dxa" w:w="2460"/>
            <w:tcBorders>
              <w:top w:val="none" w:sz="0"/>
              <w:left w:val="none" w:sz="0"/>
              <w:bottom w:val="none" w:sz="0"/>
              <w:right w:val="none" w:sz="0"/>
            </w:tcBorders>
            <w:shd w:fill="FFF8E1"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ADRs: </w:t>
            </w:r>
            <w:r>
              <w:rPr>
                <w:rFonts w:ascii="Arial" w:cs="Arial" w:eastAsia="Arial" w:hAnsi="Arial"/>
                <w:color w:val="333333"/>
                <w:sz w:val="17"/>
                <w:szCs w:val="17"/>
              </w:rPr>
              <w:t xml:space="preserve">ADR-002 (UC-3), ADR-004 (UC-8)</w:t>
            </w:r>
          </w:p>
        </w:tc>
      </w:tr>
    </w:tbl>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(UC-3) LightGBM regression for idle rate forecasting 1-3 months ahead per GU and site. (UC-8) Person-level idle risk scoring from ADR-004 (individuals likely to transition to idle in the next 1-2 months based on contract end patterns, utilization trends, and revenue status changes). Predictions surface on the Capacity Planning page as forward-looking supply indicators and on People Analytics as individual attention signals.</w:t>
      </w:r>
    </w:p>
    <w:p>
      <w:pPr>
        <w:spacing w:after="120"/>
      </w:pPr>
      <w:r>
        <w:rPr>
          <w:rFonts w:ascii="Arial" w:cs="Arial" w:eastAsia="Arial" w:hAnsi="Arial"/>
          <w:b/>
          <w:bCs/>
          <w:color w:val="333333"/>
          <w:sz w:val="20"/>
          <w:szCs w:val="20"/>
        </w:rPr>
        <w:t xml:space="preserve">Depends on: </w:t>
      </w:r>
      <w:r>
        <w:rPr>
          <w:rFonts w:ascii="Arial" w:cs="Arial" w:eastAsia="Arial" w:hAnsi="Arial"/>
          <w:color w:val="333333"/>
          <w:sz w:val="20"/>
          <w:szCs w:val="20"/>
        </w:rPr>
        <w:t xml:space="preserve">EPIC-12, EPIC-09, EPIC-10</w:t>
      </w:r>
    </w:p>
    <w:p>
      <w:pPr>
        <w:spacing w:after="120"/>
      </w:pPr>
      <w:r>
        <w:rPr>
          <w:rFonts w:ascii="Arial" w:cs="Arial" w:eastAsia="Arial" w:hAnsi="Arial"/>
          <w:b/>
          <w:bCs/>
          <w:color w:val="E31937"/>
          <w:sz w:val="20"/>
          <w:szCs w:val="20"/>
        </w:rPr>
        <w:t xml:space="preserve">Replaces: </w:t>
      </w:r>
      <w:r>
        <w:rPr>
          <w:rFonts w:ascii="Arial" w:cs="Arial" w:eastAsia="Arial" w:hAnsi="Arial"/>
          <w:i/>
          <w:iCs/>
          <w:color w:val="666666"/>
          <w:sz w:val="20"/>
          <w:szCs w:val="20"/>
        </w:rPr>
        <w:t xml:space="preserve">N/A (new capability)</w:t>
      </w:r>
    </w:p>
    <w:p>
      <w:pPr>
        <w:pStyle w:val="Heading3"/>
      </w:pPr>
      <w:r>
        <w:rPr>
          <w:rFonts w:ascii="Arial" w:cs="Arial" w:eastAsia="Arial" w:hAnsi="Arial"/>
          <w:b/>
          <w:bCs/>
          <w:color w:val="555555"/>
          <w:sz w:val="20"/>
          <w:szCs w:val="20"/>
        </w:rPr>
        <w:t xml:space="preserve">Key Deliverables</w:t>
      </w:r>
    </w:p>
    <w:p>
      <w:pPr>
        <w:pStyle w:val="ListParagraph"/>
        <w:numPr>
          <w:ilvl w:val="0"/>
          <w:numId w:val="2"/>
        </w:numPr>
        <w:spacing w:after="60"/>
      </w:pPr>
      <w:r>
        <w:rPr>
          <w:rFonts w:ascii="Arial" w:cs="Arial" w:eastAsia="Arial" w:hAnsi="Arial"/>
          <w:color w:val="333333"/>
          <w:sz w:val="19"/>
          <w:szCs w:val="19"/>
        </w:rPr>
        <w:t xml:space="preserve">GU-level idle rate forecast (1-3 months)</w:t>
      </w:r>
    </w:p>
    <w:p>
      <w:pPr>
        <w:pStyle w:val="ListParagraph"/>
        <w:numPr>
          <w:ilvl w:val="0"/>
          <w:numId w:val="2"/>
        </w:numPr>
        <w:spacing w:after="60"/>
      </w:pPr>
      <w:r>
        <w:rPr>
          <w:rFonts w:ascii="Arial" w:cs="Arial" w:eastAsia="Arial" w:hAnsi="Arial"/>
          <w:color w:val="333333"/>
          <w:sz w:val="19"/>
          <w:szCs w:val="19"/>
        </w:rPr>
        <w:t xml:space="preserve">Site-level idle rate forecast</w:t>
      </w:r>
    </w:p>
    <w:p>
      <w:pPr>
        <w:pStyle w:val="ListParagraph"/>
        <w:numPr>
          <w:ilvl w:val="0"/>
          <w:numId w:val="2"/>
        </w:numPr>
        <w:spacing w:after="60"/>
      </w:pPr>
      <w:r>
        <w:rPr>
          <w:rFonts w:ascii="Arial" w:cs="Arial" w:eastAsia="Arial" w:hAnsi="Arial"/>
          <w:color w:val="333333"/>
          <w:sz w:val="19"/>
          <w:szCs w:val="19"/>
        </w:rPr>
        <w:t xml:space="preserve">Person-level idle risk scores</w:t>
      </w:r>
    </w:p>
    <w:p>
      <w:pPr>
        <w:pStyle w:val="ListParagraph"/>
        <w:numPr>
          <w:ilvl w:val="0"/>
          <w:numId w:val="2"/>
        </w:numPr>
        <w:spacing w:after="60"/>
      </w:pPr>
      <w:r>
        <w:rPr>
          <w:rFonts w:ascii="Arial" w:cs="Arial" w:eastAsia="Arial" w:hAnsi="Arial"/>
          <w:color w:val="333333"/>
          <w:sz w:val="19"/>
          <w:szCs w:val="19"/>
        </w:rPr>
        <w:t xml:space="preserve">Contract end pattern detection</w:t>
      </w:r>
    </w:p>
    <w:p>
      <w:pPr>
        <w:pStyle w:val="ListParagraph"/>
        <w:numPr>
          <w:ilvl w:val="0"/>
          <w:numId w:val="2"/>
        </w:numPr>
        <w:spacing w:after="60"/>
      </w:pPr>
      <w:r>
        <w:rPr>
          <w:rFonts w:ascii="Arial" w:cs="Arial" w:eastAsia="Arial" w:hAnsi="Arial"/>
          <w:color w:val="333333"/>
          <w:sz w:val="19"/>
          <w:szCs w:val="19"/>
        </w:rPr>
        <w:t xml:space="preserve">Integration with Capacity Planning page</w:t>
      </w:r>
    </w:p>
    <w:p>
      <w:pPr>
        <w:pStyle w:val="ListParagraph"/>
        <w:numPr>
          <w:ilvl w:val="0"/>
          <w:numId w:val="2"/>
        </w:numPr>
        <w:spacing w:after="60"/>
      </w:pPr>
      <w:r>
        <w:rPr>
          <w:rFonts w:ascii="Arial" w:cs="Arial" w:eastAsia="Arial" w:hAnsi="Arial"/>
          <w:color w:val="333333"/>
          <w:sz w:val="19"/>
          <w:szCs w:val="19"/>
        </w:rPr>
        <w:t xml:space="preserve">Integration with People Analytics attention signals</w:t>
      </w:r>
    </w:p>
    <w:p>
      <w:pPr>
        <w:spacing w:after="120"/>
      </w:pPr>
      <w:r>
        <w:rPr>
          <w:rFonts w:ascii="Arial" w:cs="Arial" w:eastAsia="Arial" w:hAnsi="Arial"/>
          <w:b w:val="false"/>
          <w:bCs w:val="false"/>
          <w:i w:val="false"/>
          <w:iCs w:val="false"/>
          <w:color w:val="333333"/>
          <w:sz w:val="20"/>
          <w:szCs w:val="20"/>
        </w:rPr>
        <w:t xml:space="preserve"/>
      </w:r>
    </w:p>
    <w:p>
      <w:pPr>
        <w:pStyle w:val="Heading2"/>
        <w:spacing w:after="120" w:before="300"/>
      </w:pPr>
      <w:r>
        <w:rPr>
          <w:rFonts w:ascii="Arial" w:cs="Arial" w:eastAsia="Arial" w:hAnsi="Arial"/>
          <w:b/>
          <w:bCs/>
          <w:color w:val="E31937"/>
          <w:sz w:val="24"/>
          <w:szCs w:val="24"/>
        </w:rPr>
        <w:t xml:space="preserve">EPIC-15  </w:t>
      </w:r>
      <w:r>
        <w:rPr>
          <w:rFonts w:ascii="Arial" w:cs="Arial" w:eastAsia="Arial" w:hAnsi="Arial"/>
          <w:b/>
          <w:bCs/>
          <w:color w:val="1B2A4A"/>
          <w:sz w:val="24"/>
          <w:szCs w:val="24"/>
        </w:rPr>
        <w:t xml:space="preserve">Churn, Variance &amp; Advanced Predictions (UC-4, UC-5, UC-9)</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none" w:sz="0"/>
              <w:left w:val="none" w:sz="0"/>
              <w:bottom w:val="none" w:sz="0"/>
              <w:right w:val="none" w:sz="0"/>
            </w:tcBorders>
            <w:shd w:fill="FFF3E0"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Phase: </w:t>
            </w:r>
            <w:r>
              <w:rPr>
                <w:rFonts w:ascii="Arial" w:cs="Arial" w:eastAsia="Arial" w:hAnsi="Arial"/>
                <w:color w:val="333333"/>
                <w:sz w:val="17"/>
                <w:szCs w:val="17"/>
              </w:rPr>
              <w:t xml:space="preserve">Phase 4</w:t>
            </w:r>
          </w:p>
        </w:tc>
        <w:tc>
          <w:tcPr>
            <w:tcW w:type="dxa" w:w="2460"/>
            <w:tcBorders>
              <w:top w:val="none" w:sz="0"/>
              <w:left w:val="none" w:sz="0"/>
              <w:bottom w:val="none" w:sz="0"/>
              <w:right w:val="none" w:sz="0"/>
            </w:tcBorders>
            <w:shd w:fill="FFF3E0"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Priority: </w:t>
            </w:r>
            <w:r>
              <w:rPr>
                <w:rFonts w:ascii="Arial" w:cs="Arial" w:eastAsia="Arial" w:hAnsi="Arial"/>
                <w:color w:val="333333"/>
                <w:sz w:val="17"/>
                <w:szCs w:val="17"/>
              </w:rPr>
              <w:t xml:space="preserve">P2</w:t>
            </w:r>
          </w:p>
        </w:tc>
        <w:tc>
          <w:tcPr>
            <w:tcW w:type="dxa" w:w="2460"/>
            <w:tcBorders>
              <w:top w:val="none" w:sz="0"/>
              <w:left w:val="none" w:sz="0"/>
              <w:bottom w:val="none" w:sz="0"/>
              <w:right w:val="none" w:sz="0"/>
            </w:tcBorders>
            <w:shd w:fill="FFF3E0"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Effort: </w:t>
            </w:r>
            <w:r>
              <w:rPr>
                <w:rFonts w:ascii="Arial" w:cs="Arial" w:eastAsia="Arial" w:hAnsi="Arial"/>
                <w:color w:val="333333"/>
                <w:sz w:val="17"/>
                <w:szCs w:val="17"/>
              </w:rPr>
              <w:t xml:space="preserve">3-4 weeks</w:t>
            </w:r>
          </w:p>
        </w:tc>
        <w:tc>
          <w:tcPr>
            <w:tcW w:type="dxa" w:w="2460"/>
            <w:tcBorders>
              <w:top w:val="none" w:sz="0"/>
              <w:left w:val="none" w:sz="0"/>
              <w:bottom w:val="none" w:sz="0"/>
              <w:right w:val="none" w:sz="0"/>
            </w:tcBorders>
            <w:shd w:fill="FFF3E0"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ADRs: </w:t>
            </w:r>
            <w:r>
              <w:rPr>
                <w:rFonts w:ascii="Arial" w:cs="Arial" w:eastAsia="Arial" w:hAnsi="Arial"/>
                <w:color w:val="333333"/>
                <w:sz w:val="17"/>
                <w:szCs w:val="17"/>
              </w:rPr>
              <w:t xml:space="preserve">ADR-002 (UC-4, UC-5), ADR-004 (UC-9)</w:t>
            </w:r>
          </w:p>
        </w:tc>
      </w:tr>
    </w:tbl>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(UC-4) Cox PH survival analysis for client contraction/churn risk. (UC-5) LightGBM quantile regression for budget variance prediction by cost component. (UC-9) Promotion likelihood model from ADR-004 (probability of role group advancement in next 6-12 months). These are the deeper predictive models that require more historical data and validation before surfacing in the cockpit.</w:t>
      </w:r>
    </w:p>
    <w:p>
      <w:pPr>
        <w:spacing w:after="120"/>
      </w:pPr>
      <w:r>
        <w:rPr>
          <w:rFonts w:ascii="Arial" w:cs="Arial" w:eastAsia="Arial" w:hAnsi="Arial"/>
          <w:b/>
          <w:bCs/>
          <w:color w:val="333333"/>
          <w:sz w:val="20"/>
          <w:szCs w:val="20"/>
        </w:rPr>
        <w:t xml:space="preserve">Depends on: </w:t>
      </w:r>
      <w:r>
        <w:rPr>
          <w:rFonts w:ascii="Arial" w:cs="Arial" w:eastAsia="Arial" w:hAnsi="Arial"/>
          <w:color w:val="333333"/>
          <w:sz w:val="20"/>
          <w:szCs w:val="20"/>
        </w:rPr>
        <w:t xml:space="preserve">EPIC-12, EPIC-05, EPIC-09</w:t>
      </w:r>
    </w:p>
    <w:p>
      <w:pPr>
        <w:spacing w:after="120"/>
      </w:pPr>
      <w:r>
        <w:rPr>
          <w:rFonts w:ascii="Arial" w:cs="Arial" w:eastAsia="Arial" w:hAnsi="Arial"/>
          <w:b/>
          <w:bCs/>
          <w:color w:val="E31937"/>
          <w:sz w:val="20"/>
          <w:szCs w:val="20"/>
        </w:rPr>
        <w:t xml:space="preserve">Replaces: </w:t>
      </w:r>
      <w:r>
        <w:rPr>
          <w:rFonts w:ascii="Arial" w:cs="Arial" w:eastAsia="Arial" w:hAnsi="Arial"/>
          <w:i/>
          <w:iCs/>
          <w:color w:val="666666"/>
          <w:sz w:val="20"/>
          <w:szCs w:val="20"/>
        </w:rPr>
        <w:t xml:space="preserve">N/A (new capability)</w:t>
      </w:r>
    </w:p>
    <w:p>
      <w:pPr>
        <w:pStyle w:val="Heading3"/>
      </w:pPr>
      <w:r>
        <w:rPr>
          <w:rFonts w:ascii="Arial" w:cs="Arial" w:eastAsia="Arial" w:hAnsi="Arial"/>
          <w:b/>
          <w:bCs/>
          <w:color w:val="555555"/>
          <w:sz w:val="20"/>
          <w:szCs w:val="20"/>
        </w:rPr>
        <w:t xml:space="preserve">Key Deliverables</w:t>
      </w:r>
    </w:p>
    <w:p>
      <w:pPr>
        <w:pStyle w:val="ListParagraph"/>
        <w:numPr>
          <w:ilvl w:val="0"/>
          <w:numId w:val="2"/>
        </w:numPr>
        <w:spacing w:after="60"/>
      </w:pPr>
      <w:r>
        <w:rPr>
          <w:rFonts w:ascii="Arial" w:cs="Arial" w:eastAsia="Arial" w:hAnsi="Arial"/>
          <w:color w:val="333333"/>
          <w:sz w:val="19"/>
          <w:szCs w:val="19"/>
        </w:rPr>
        <w:t xml:space="preserve">Client churn risk scoring (Cox PH survival)</w:t>
      </w:r>
    </w:p>
    <w:p>
      <w:pPr>
        <w:pStyle w:val="ListParagraph"/>
        <w:numPr>
          <w:ilvl w:val="0"/>
          <w:numId w:val="2"/>
        </w:numPr>
        <w:spacing w:after="60"/>
      </w:pPr>
      <w:r>
        <w:rPr>
          <w:rFonts w:ascii="Arial" w:cs="Arial" w:eastAsia="Arial" w:hAnsi="Arial"/>
          <w:color w:val="333333"/>
          <w:sz w:val="19"/>
          <w:szCs w:val="19"/>
        </w:rPr>
        <w:t xml:space="preserve">Client survival curves visualization</w:t>
      </w:r>
    </w:p>
    <w:p>
      <w:pPr>
        <w:pStyle w:val="ListParagraph"/>
        <w:numPr>
          <w:ilvl w:val="0"/>
          <w:numId w:val="2"/>
        </w:numPr>
        <w:spacing w:after="60"/>
      </w:pPr>
      <w:r>
        <w:rPr>
          <w:rFonts w:ascii="Arial" w:cs="Arial" w:eastAsia="Arial" w:hAnsi="Arial"/>
          <w:color w:val="333333"/>
          <w:sz w:val="19"/>
          <w:szCs w:val="19"/>
        </w:rPr>
        <w:t xml:space="preserve">Budget variance predictor by cost component</w:t>
      </w:r>
    </w:p>
    <w:p>
      <w:pPr>
        <w:pStyle w:val="ListParagraph"/>
        <w:numPr>
          <w:ilvl w:val="0"/>
          <w:numId w:val="2"/>
        </w:numPr>
        <w:spacing w:after="60"/>
      </w:pPr>
      <w:r>
        <w:rPr>
          <w:rFonts w:ascii="Arial" w:cs="Arial" w:eastAsia="Arial" w:hAnsi="Arial"/>
          <w:color w:val="333333"/>
          <w:sz w:val="19"/>
          <w:szCs w:val="19"/>
        </w:rPr>
        <w:t xml:space="preserve">Variance waterfall with predicted vs. actual</w:t>
      </w:r>
    </w:p>
    <w:p>
      <w:pPr>
        <w:pStyle w:val="ListParagraph"/>
        <w:numPr>
          <w:ilvl w:val="0"/>
          <w:numId w:val="2"/>
        </w:numPr>
        <w:spacing w:after="60"/>
      </w:pPr>
      <w:r>
        <w:rPr>
          <w:rFonts w:ascii="Arial" w:cs="Arial" w:eastAsia="Arial" w:hAnsi="Arial"/>
          <w:color w:val="333333"/>
          <w:sz w:val="19"/>
          <w:szCs w:val="19"/>
        </w:rPr>
        <w:t xml:space="preserve">Promotion likelihood model per person</w:t>
      </w:r>
    </w:p>
    <w:p>
      <w:pPr>
        <w:pStyle w:val="ListParagraph"/>
        <w:numPr>
          <w:ilvl w:val="0"/>
          <w:numId w:val="2"/>
        </w:numPr>
        <w:spacing w:after="60"/>
      </w:pPr>
      <w:r>
        <w:rPr>
          <w:rFonts w:ascii="Arial" w:cs="Arial" w:eastAsia="Arial" w:hAnsi="Arial"/>
          <w:color w:val="333333"/>
          <w:sz w:val="19"/>
          <w:szCs w:val="19"/>
        </w:rPr>
        <w:t xml:space="preserve">Career trajectory prediction visualization</w:t>
      </w:r>
    </w:p>
    <w:p>
      <w:pPr>
        <w:spacing w:after="120"/>
      </w:pPr>
      <w:r>
        <w:rPr>
          <w:rFonts w:ascii="Arial" w:cs="Arial" w:eastAsia="Arial" w:hAnsi="Arial"/>
          <w:b w:val="false"/>
          <w:bCs w:val="false"/>
          <w:i w:val="false"/>
          <w:iCs w:val="false"/>
          <w:color w:val="333333"/>
          <w:sz w:val="20"/>
          <w:szCs w:val="20"/>
        </w:rPr>
        <w:t xml:space="preserve"/>
      </w:r>
    </w:p>
    <w:p>
      <w:pPr>
        <w:pStyle w:val="Heading2"/>
        <w:spacing w:after="120" w:before="300"/>
      </w:pPr>
      <w:r>
        <w:rPr>
          <w:rFonts w:ascii="Arial" w:cs="Arial" w:eastAsia="Arial" w:hAnsi="Arial"/>
          <w:b/>
          <w:bCs/>
          <w:color w:val="E31937"/>
          <w:sz w:val="24"/>
          <w:szCs w:val="24"/>
        </w:rPr>
        <w:t xml:space="preserve">EPIC-16  </w:t>
      </w:r>
      <w:r>
        <w:rPr>
          <w:rFonts w:ascii="Arial" w:cs="Arial" w:eastAsia="Arial" w:hAnsi="Arial"/>
          <w:b/>
          <w:bCs/>
          <w:color w:val="1B2A4A"/>
          <w:sz w:val="24"/>
          <w:szCs w:val="24"/>
        </w:rPr>
        <w:t xml:space="preserve">Capacity Forecasting Models (UC-10, UC-11, UC-12)</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none" w:sz="0"/>
              <w:left w:val="none" w:sz="0"/>
              <w:bottom w:val="none" w:sz="0"/>
              <w:right w:val="none" w:sz="0"/>
            </w:tcBorders>
            <w:shd w:fill="FFF3E0"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Phase: </w:t>
            </w:r>
            <w:r>
              <w:rPr>
                <w:rFonts w:ascii="Arial" w:cs="Arial" w:eastAsia="Arial" w:hAnsi="Arial"/>
                <w:color w:val="333333"/>
                <w:sz w:val="17"/>
                <w:szCs w:val="17"/>
              </w:rPr>
              <w:t xml:space="preserve">Phase 4</w:t>
            </w:r>
          </w:p>
        </w:tc>
        <w:tc>
          <w:tcPr>
            <w:tcW w:type="dxa" w:w="2460"/>
            <w:tcBorders>
              <w:top w:val="none" w:sz="0"/>
              <w:left w:val="none" w:sz="0"/>
              <w:bottom w:val="none" w:sz="0"/>
              <w:right w:val="none" w:sz="0"/>
            </w:tcBorders>
            <w:shd w:fill="FFF3E0"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Priority: </w:t>
            </w:r>
            <w:r>
              <w:rPr>
                <w:rFonts w:ascii="Arial" w:cs="Arial" w:eastAsia="Arial" w:hAnsi="Arial"/>
                <w:color w:val="333333"/>
                <w:sz w:val="17"/>
                <w:szCs w:val="17"/>
              </w:rPr>
              <w:t xml:space="preserve">P2</w:t>
            </w:r>
          </w:p>
        </w:tc>
        <w:tc>
          <w:tcPr>
            <w:tcW w:type="dxa" w:w="2460"/>
            <w:tcBorders>
              <w:top w:val="none" w:sz="0"/>
              <w:left w:val="none" w:sz="0"/>
              <w:bottom w:val="none" w:sz="0"/>
              <w:right w:val="none" w:sz="0"/>
            </w:tcBorders>
            <w:shd w:fill="FFF3E0"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Effort: </w:t>
            </w:r>
            <w:r>
              <w:rPr>
                <w:rFonts w:ascii="Arial" w:cs="Arial" w:eastAsia="Arial" w:hAnsi="Arial"/>
                <w:color w:val="333333"/>
                <w:sz w:val="17"/>
                <w:szCs w:val="17"/>
              </w:rPr>
              <w:t xml:space="preserve">3-4 weeks</w:t>
            </w:r>
          </w:p>
        </w:tc>
        <w:tc>
          <w:tcPr>
            <w:tcW w:type="dxa" w:w="2460"/>
            <w:tcBorders>
              <w:top w:val="none" w:sz="0"/>
              <w:left w:val="none" w:sz="0"/>
              <w:bottom w:val="none" w:sz="0"/>
              <w:right w:val="none" w:sz="0"/>
            </w:tcBorders>
            <w:shd w:fill="FFF3E0"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ADRs: </w:t>
            </w:r>
            <w:r>
              <w:rPr>
                <w:rFonts w:ascii="Arial" w:cs="Arial" w:eastAsia="Arial" w:hAnsi="Arial"/>
                <w:color w:val="333333"/>
                <w:sz w:val="17"/>
                <w:szCs w:val="17"/>
              </w:rPr>
              <w:t xml:space="preserve">ADR-002 (UC-7), ADR-005 (UC-10, UC-11, UC-12)</w:t>
            </w:r>
          </w:p>
        </w:tc>
      </w:tr>
    </w:tbl>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(UC-10) Supply forecast using historical hiring ramp patterns and attrition proxy. (UC-11) Pipeline conversion probability (Land/Expand to Signed). (UC-12) Monte Carlo hiring simulation for scenario planning. These models power the forward-looking zones of the Capacity Planning page, turning the what-if simulator from manual sliders into data-driven scenarios.</w:t>
      </w:r>
    </w:p>
    <w:p>
      <w:pPr>
        <w:spacing w:after="120"/>
      </w:pPr>
      <w:r>
        <w:rPr>
          <w:rFonts w:ascii="Arial" w:cs="Arial" w:eastAsia="Arial" w:hAnsi="Arial"/>
          <w:b/>
          <w:bCs/>
          <w:color w:val="333333"/>
          <w:sz w:val="20"/>
          <w:szCs w:val="20"/>
        </w:rPr>
        <w:t xml:space="preserve">Depends on: </w:t>
      </w:r>
      <w:r>
        <w:rPr>
          <w:rFonts w:ascii="Arial" w:cs="Arial" w:eastAsia="Arial" w:hAnsi="Arial"/>
          <w:color w:val="333333"/>
          <w:sz w:val="20"/>
          <w:szCs w:val="20"/>
        </w:rPr>
        <w:t xml:space="preserve">EPIC-12, EPIC-10</w:t>
      </w:r>
    </w:p>
    <w:p>
      <w:pPr>
        <w:spacing w:after="120"/>
      </w:pPr>
      <w:r>
        <w:rPr>
          <w:rFonts w:ascii="Arial" w:cs="Arial" w:eastAsia="Arial" w:hAnsi="Arial"/>
          <w:b/>
          <w:bCs/>
          <w:color w:val="E31937"/>
          <w:sz w:val="20"/>
          <w:szCs w:val="20"/>
        </w:rPr>
        <w:t xml:space="preserve">Replaces: </w:t>
      </w:r>
      <w:r>
        <w:rPr>
          <w:rFonts w:ascii="Arial" w:cs="Arial" w:eastAsia="Arial" w:hAnsi="Arial"/>
          <w:i/>
          <w:iCs/>
          <w:color w:val="666666"/>
          <w:sz w:val="20"/>
          <w:szCs w:val="20"/>
        </w:rPr>
        <w:t xml:space="preserve">N/A (new capability)</w:t>
      </w:r>
    </w:p>
    <w:p>
      <w:pPr>
        <w:pStyle w:val="Heading3"/>
      </w:pPr>
      <w:r>
        <w:rPr>
          <w:rFonts w:ascii="Arial" w:cs="Arial" w:eastAsia="Arial" w:hAnsi="Arial"/>
          <w:b/>
          <w:bCs/>
          <w:color w:val="555555"/>
          <w:sz w:val="20"/>
          <w:szCs w:val="20"/>
        </w:rPr>
        <w:t xml:space="preserve">Key Deliverables</w:t>
      </w:r>
    </w:p>
    <w:p>
      <w:pPr>
        <w:pStyle w:val="ListParagraph"/>
        <w:numPr>
          <w:ilvl w:val="0"/>
          <w:numId w:val="2"/>
        </w:numPr>
        <w:spacing w:after="60"/>
      </w:pPr>
      <w:r>
        <w:rPr>
          <w:rFonts w:ascii="Arial" w:cs="Arial" w:eastAsia="Arial" w:hAnsi="Arial"/>
          <w:color w:val="333333"/>
          <w:sz w:val="19"/>
          <w:szCs w:val="19"/>
        </w:rPr>
        <w:t xml:space="preserve">Supply forecast model (hiring ramp + attrition)</w:t>
      </w:r>
    </w:p>
    <w:p>
      <w:pPr>
        <w:pStyle w:val="ListParagraph"/>
        <w:numPr>
          <w:ilvl w:val="0"/>
          <w:numId w:val="2"/>
        </w:numPr>
        <w:spacing w:after="60"/>
      </w:pPr>
      <w:r>
        <w:rPr>
          <w:rFonts w:ascii="Arial" w:cs="Arial" w:eastAsia="Arial" w:hAnsi="Arial"/>
          <w:color w:val="333333"/>
          <w:sz w:val="19"/>
          <w:szCs w:val="19"/>
        </w:rPr>
        <w:t xml:space="preserve">Pipeline conversion probability by revenue status</w:t>
      </w:r>
    </w:p>
    <w:p>
      <w:pPr>
        <w:pStyle w:val="ListParagraph"/>
        <w:numPr>
          <w:ilvl w:val="0"/>
          <w:numId w:val="2"/>
        </w:numPr>
        <w:spacing w:after="60"/>
      </w:pPr>
      <w:r>
        <w:rPr>
          <w:rFonts w:ascii="Arial" w:cs="Arial" w:eastAsia="Arial" w:hAnsi="Arial"/>
          <w:color w:val="333333"/>
          <w:sz w:val="19"/>
          <w:szCs w:val="19"/>
        </w:rPr>
        <w:t xml:space="preserve">Monte Carlo hiring simulation engine</w:t>
      </w:r>
    </w:p>
    <w:p>
      <w:pPr>
        <w:pStyle w:val="ListParagraph"/>
        <w:numPr>
          <w:ilvl w:val="0"/>
          <w:numId w:val="2"/>
        </w:numPr>
        <w:spacing w:after="60"/>
      </w:pPr>
      <w:r>
        <w:rPr>
          <w:rFonts w:ascii="Arial" w:cs="Arial" w:eastAsia="Arial" w:hAnsi="Arial"/>
          <w:color w:val="333333"/>
          <w:sz w:val="19"/>
          <w:szCs w:val="19"/>
        </w:rPr>
        <w:t xml:space="preserve">Scenario planning with model-driven defaults</w:t>
      </w:r>
    </w:p>
    <w:p>
      <w:pPr>
        <w:pStyle w:val="ListParagraph"/>
        <w:numPr>
          <w:ilvl w:val="0"/>
          <w:numId w:val="2"/>
        </w:numPr>
        <w:spacing w:after="60"/>
      </w:pPr>
      <w:r>
        <w:rPr>
          <w:rFonts w:ascii="Arial" w:cs="Arial" w:eastAsia="Arial" w:hAnsi="Arial"/>
          <w:color w:val="333333"/>
          <w:sz w:val="19"/>
          <w:szCs w:val="19"/>
        </w:rPr>
        <w:t xml:space="preserve">Capacity gap prediction (3-6 month horizon)</w:t>
      </w:r>
    </w:p>
    <w:p>
      <w:pPr>
        <w:pStyle w:val="ListParagraph"/>
        <w:numPr>
          <w:ilvl w:val="0"/>
          <w:numId w:val="2"/>
        </w:numPr>
        <w:spacing w:after="60"/>
      </w:pPr>
      <w:r>
        <w:rPr>
          <w:rFonts w:ascii="Arial" w:cs="Arial" w:eastAsia="Arial" w:hAnsi="Arial"/>
          <w:color w:val="333333"/>
          <w:sz w:val="19"/>
          <w:szCs w:val="19"/>
        </w:rPr>
        <w:t xml:space="preserve">Hiring recommendation engine</w:t>
      </w:r>
    </w:p>
    <w:p>
      <w:pPr>
        <w:spacing w:after="120"/>
      </w:pPr>
      <w:r>
        <w:rPr>
          <w:rFonts w:ascii="Arial" w:cs="Arial" w:eastAsia="Arial" w:hAnsi="Arial"/>
          <w:b w:val="false"/>
          <w:bCs w:val="false"/>
          <w:i w:val="false"/>
          <w:iCs w:val="false"/>
          <w:color w:val="333333"/>
          <w:sz w:val="20"/>
          <w:szCs w:val="20"/>
        </w:rPr>
        <w:t xml:space="preserve"/>
      </w:r>
    </w:p>
    <w:p>
      <w:pPr>
        <w:pStyle w:val="Heading2"/>
        <w:spacing w:after="120" w:before="300"/>
      </w:pPr>
      <w:r>
        <w:rPr>
          <w:rFonts w:ascii="Arial" w:cs="Arial" w:eastAsia="Arial" w:hAnsi="Arial"/>
          <w:b/>
          <w:bCs/>
          <w:color w:val="E31937"/>
          <w:sz w:val="24"/>
          <w:szCs w:val="24"/>
        </w:rPr>
        <w:t xml:space="preserve">EPIC-17  </w:t>
      </w:r>
      <w:r>
        <w:rPr>
          <w:rFonts w:ascii="Arial" w:cs="Arial" w:eastAsia="Arial" w:hAnsi="Arial"/>
          <w:b/>
          <w:bCs/>
          <w:color w:val="1B2A4A"/>
          <w:sz w:val="24"/>
          <w:szCs w:val="24"/>
        </w:rPr>
        <w:t xml:space="preserve">Report Generation &amp; Export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none" w:sz="0"/>
              <w:left w:val="none" w:sz="0"/>
              <w:bottom w:val="none" w:sz="0"/>
              <w:right w:val="none" w:sz="0"/>
            </w:tcBorders>
            <w:shd w:fill="E6F4EA"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Phase: </w:t>
            </w:r>
            <w:r>
              <w:rPr>
                <w:rFonts w:ascii="Arial" w:cs="Arial" w:eastAsia="Arial" w:hAnsi="Arial"/>
                <w:color w:val="333333"/>
                <w:sz w:val="17"/>
                <w:szCs w:val="17"/>
              </w:rPr>
              <w:t xml:space="preserve">Phase 2</w:t>
            </w:r>
          </w:p>
        </w:tc>
        <w:tc>
          <w:tcPr>
            <w:tcW w:type="dxa" w:w="2460"/>
            <w:tcBorders>
              <w:top w:val="none" w:sz="0"/>
              <w:left w:val="none" w:sz="0"/>
              <w:bottom w:val="none" w:sz="0"/>
              <w:right w:val="none" w:sz="0"/>
            </w:tcBorders>
            <w:shd w:fill="E6F4EA"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Priority: </w:t>
            </w:r>
            <w:r>
              <w:rPr>
                <w:rFonts w:ascii="Arial" w:cs="Arial" w:eastAsia="Arial" w:hAnsi="Arial"/>
                <w:color w:val="333333"/>
                <w:sz w:val="17"/>
                <w:szCs w:val="17"/>
              </w:rPr>
              <w:t xml:space="preserve">P1</w:t>
            </w:r>
          </w:p>
        </w:tc>
        <w:tc>
          <w:tcPr>
            <w:tcW w:type="dxa" w:w="2460"/>
            <w:tcBorders>
              <w:top w:val="none" w:sz="0"/>
              <w:left w:val="none" w:sz="0"/>
              <w:bottom w:val="none" w:sz="0"/>
              <w:right w:val="none" w:sz="0"/>
            </w:tcBorders>
            <w:shd w:fill="E6F4EA"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Effort: </w:t>
            </w:r>
            <w:r>
              <w:rPr>
                <w:rFonts w:ascii="Arial" w:cs="Arial" w:eastAsia="Arial" w:hAnsi="Arial"/>
                <w:color w:val="333333"/>
                <w:sz w:val="17"/>
                <w:szCs w:val="17"/>
              </w:rPr>
              <w:t xml:space="preserve">2 weeks</w:t>
            </w:r>
          </w:p>
        </w:tc>
        <w:tc>
          <w:tcPr>
            <w:tcW w:type="dxa" w:w="2460"/>
            <w:tcBorders>
              <w:top w:val="none" w:sz="0"/>
              <w:left w:val="none" w:sz="0"/>
              <w:bottom w:val="none" w:sz="0"/>
              <w:right w:val="none" w:sz="0"/>
            </w:tcBorders>
            <w:shd w:fill="E6F4EA"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ADRs: </w:t>
            </w:r>
            <w:r>
              <w:rPr>
                <w:rFonts w:ascii="Arial" w:cs="Arial" w:eastAsia="Arial" w:hAnsi="Arial"/>
                <w:color w:val="333333"/>
                <w:sz w:val="17"/>
                <w:szCs w:val="17"/>
              </w:rPr>
              <w:t xml:space="preserve">ADR-001</w:t>
            </w:r>
          </w:p>
        </w:tc>
      </w:tr>
    </w:tbl>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Automated report generation that replaces the Python scripts in 2026_Hoshin_Nova. Monthly portfolio report (GU-level summary with all 8 KPIs, client highlights, alert summary). Client-level monthly report with financial detail. PDCA report for strategic review. All reports generate as downloadable PDF or DOCX from the cockpit, with the same data the dashboards show.</w:t>
      </w:r>
    </w:p>
    <w:p>
      <w:pPr>
        <w:spacing w:after="120"/>
      </w:pPr>
      <w:r>
        <w:rPr>
          <w:rFonts w:ascii="Arial" w:cs="Arial" w:eastAsia="Arial" w:hAnsi="Arial"/>
          <w:b/>
          <w:bCs/>
          <w:color w:val="333333"/>
          <w:sz w:val="20"/>
          <w:szCs w:val="20"/>
        </w:rPr>
        <w:t xml:space="preserve">Depends on: </w:t>
      </w:r>
      <w:r>
        <w:rPr>
          <w:rFonts w:ascii="Arial" w:cs="Arial" w:eastAsia="Arial" w:hAnsi="Arial"/>
          <w:color w:val="333333"/>
          <w:sz w:val="20"/>
          <w:szCs w:val="20"/>
        </w:rPr>
        <w:t xml:space="preserve">EPIC-04, EPIC-05</w:t>
      </w:r>
    </w:p>
    <w:p>
      <w:pPr>
        <w:spacing w:after="120"/>
      </w:pPr>
      <w:r>
        <w:rPr>
          <w:rFonts w:ascii="Arial" w:cs="Arial" w:eastAsia="Arial" w:hAnsi="Arial"/>
          <w:b/>
          <w:bCs/>
          <w:color w:val="E31937"/>
          <w:sz w:val="20"/>
          <w:szCs w:val="20"/>
        </w:rPr>
        <w:t xml:space="preserve">Replaces: </w:t>
      </w:r>
      <w:r>
        <w:rPr>
          <w:rFonts w:ascii="Arial" w:cs="Arial" w:eastAsia="Arial" w:hAnsi="Arial"/>
          <w:i/>
          <w:iCs/>
          <w:color w:val="666666"/>
          <w:sz w:val="20"/>
          <w:szCs w:val="20"/>
        </w:rPr>
        <w:t xml:space="preserve">2026_Hoshin_Nova/scripts/generate_*.py (6 scripts)</w:t>
      </w:r>
    </w:p>
    <w:p>
      <w:pPr>
        <w:pStyle w:val="Heading3"/>
      </w:pPr>
      <w:r>
        <w:rPr>
          <w:rFonts w:ascii="Arial" w:cs="Arial" w:eastAsia="Arial" w:hAnsi="Arial"/>
          <w:b/>
          <w:bCs/>
          <w:color w:val="555555"/>
          <w:sz w:val="20"/>
          <w:szCs w:val="20"/>
        </w:rPr>
        <w:t xml:space="preserve">Key Deliverables</w:t>
      </w:r>
    </w:p>
    <w:p>
      <w:pPr>
        <w:pStyle w:val="ListParagraph"/>
        <w:numPr>
          <w:ilvl w:val="0"/>
          <w:numId w:val="2"/>
        </w:numPr>
        <w:spacing w:after="60"/>
      </w:pPr>
      <w:r>
        <w:rPr>
          <w:rFonts w:ascii="Arial" w:cs="Arial" w:eastAsia="Arial" w:hAnsi="Arial"/>
          <w:color w:val="333333"/>
          <w:sz w:val="19"/>
          <w:szCs w:val="19"/>
        </w:rPr>
        <w:t xml:space="preserve">Monthly GU portfolio report (PDF/DOCX)</w:t>
      </w:r>
    </w:p>
    <w:p>
      <w:pPr>
        <w:pStyle w:val="ListParagraph"/>
        <w:numPr>
          <w:ilvl w:val="0"/>
          <w:numId w:val="2"/>
        </w:numPr>
        <w:spacing w:after="60"/>
      </w:pPr>
      <w:r>
        <w:rPr>
          <w:rFonts w:ascii="Arial" w:cs="Arial" w:eastAsia="Arial" w:hAnsi="Arial"/>
          <w:color w:val="333333"/>
          <w:sz w:val="19"/>
          <w:szCs w:val="19"/>
        </w:rPr>
        <w:t xml:space="preserve">Client-level monthly report</w:t>
      </w:r>
    </w:p>
    <w:p>
      <w:pPr>
        <w:pStyle w:val="ListParagraph"/>
        <w:numPr>
          <w:ilvl w:val="0"/>
          <w:numId w:val="2"/>
        </w:numPr>
        <w:spacing w:after="60"/>
      </w:pPr>
      <w:r>
        <w:rPr>
          <w:rFonts w:ascii="Arial" w:cs="Arial" w:eastAsia="Arial" w:hAnsi="Arial"/>
          <w:color w:val="333333"/>
          <w:sz w:val="19"/>
          <w:szCs w:val="19"/>
        </w:rPr>
        <w:t xml:space="preserve">PDCA strategic review report</w:t>
      </w:r>
    </w:p>
    <w:p>
      <w:pPr>
        <w:pStyle w:val="ListParagraph"/>
        <w:numPr>
          <w:ilvl w:val="0"/>
          <w:numId w:val="2"/>
        </w:numPr>
        <w:spacing w:after="60"/>
      </w:pPr>
      <w:r>
        <w:rPr>
          <w:rFonts w:ascii="Arial" w:cs="Arial" w:eastAsia="Arial" w:hAnsi="Arial"/>
          <w:color w:val="333333"/>
          <w:sz w:val="19"/>
          <w:szCs w:val="19"/>
        </w:rPr>
        <w:t xml:space="preserve">Budget vs. Actual variance report</w:t>
      </w:r>
    </w:p>
    <w:p>
      <w:pPr>
        <w:pStyle w:val="ListParagraph"/>
        <w:numPr>
          <w:ilvl w:val="0"/>
          <w:numId w:val="2"/>
        </w:numPr>
        <w:spacing w:after="60"/>
      </w:pPr>
      <w:r>
        <w:rPr>
          <w:rFonts w:ascii="Arial" w:cs="Arial" w:eastAsia="Arial" w:hAnsi="Arial"/>
          <w:color w:val="333333"/>
          <w:sz w:val="19"/>
          <w:szCs w:val="19"/>
        </w:rPr>
        <w:t xml:space="preserve">Scheduled report generation (post-month-close)</w:t>
      </w:r>
    </w:p>
    <w:p>
      <w:pPr>
        <w:pStyle w:val="ListParagraph"/>
        <w:numPr>
          <w:ilvl w:val="0"/>
          <w:numId w:val="2"/>
        </w:numPr>
        <w:spacing w:after="60"/>
      </w:pPr>
      <w:r>
        <w:rPr>
          <w:rFonts w:ascii="Arial" w:cs="Arial" w:eastAsia="Arial" w:hAnsi="Arial"/>
          <w:color w:val="333333"/>
          <w:sz w:val="19"/>
          <w:szCs w:val="19"/>
        </w:rPr>
        <w:t xml:space="preserve">Report template customization</w:t>
      </w:r>
    </w:p>
    <w:p>
      <w:pPr>
        <w:pStyle w:val="ListParagraph"/>
        <w:numPr>
          <w:ilvl w:val="0"/>
          <w:numId w:val="2"/>
        </w:numPr>
        <w:spacing w:after="60"/>
      </w:pPr>
      <w:r>
        <w:rPr>
          <w:rFonts w:ascii="Arial" w:cs="Arial" w:eastAsia="Arial" w:hAnsi="Arial"/>
          <w:color w:val="333333"/>
          <w:sz w:val="19"/>
          <w:szCs w:val="19"/>
        </w:rPr>
        <w:t xml:space="preserve">Email delivery of reports</w:t>
      </w:r>
    </w:p>
    <w:p>
      <w:pPr>
        <w:spacing w:after="120"/>
      </w:pPr>
      <w:r>
        <w:rPr>
          <w:rFonts w:ascii="Arial" w:cs="Arial" w:eastAsia="Arial" w:hAnsi="Arial"/>
          <w:b w:val="false"/>
          <w:bCs w:val="false"/>
          <w:i w:val="false"/>
          <w:iCs w:val="false"/>
          <w:color w:val="333333"/>
          <w:sz w:val="20"/>
          <w:szCs w:val="20"/>
        </w:rPr>
        <w:t xml:space="preserve"/>
      </w:r>
    </w:p>
    <w:p>
      <w:pPr>
        <w:pStyle w:val="Heading2"/>
        <w:spacing w:after="120" w:before="300"/>
      </w:pPr>
      <w:r>
        <w:rPr>
          <w:rFonts w:ascii="Arial" w:cs="Arial" w:eastAsia="Arial" w:hAnsi="Arial"/>
          <w:b/>
          <w:bCs/>
          <w:color w:val="E31937"/>
          <w:sz w:val="24"/>
          <w:szCs w:val="24"/>
        </w:rPr>
        <w:t xml:space="preserve">EPIC-18  </w:t>
      </w:r>
      <w:r>
        <w:rPr>
          <w:rFonts w:ascii="Arial" w:cs="Arial" w:eastAsia="Arial" w:hAnsi="Arial"/>
          <w:b/>
          <w:bCs/>
          <w:color w:val="1B2A4A"/>
          <w:sz w:val="24"/>
          <w:szCs w:val="24"/>
        </w:rPr>
        <w:t xml:space="preserve">Authentication &amp; Access Control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none" w:sz="0"/>
              <w:left w:val="none" w:sz="0"/>
              <w:bottom w:val="none" w:sz="0"/>
              <w:right w:val="none" w:sz="0"/>
            </w:tcBorders>
            <w:shd w:fill="E6F4EA"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Phase: </w:t>
            </w:r>
            <w:r>
              <w:rPr>
                <w:rFonts w:ascii="Arial" w:cs="Arial" w:eastAsia="Arial" w:hAnsi="Arial"/>
                <w:color w:val="333333"/>
                <w:sz w:val="17"/>
                <w:szCs w:val="17"/>
              </w:rPr>
              <w:t xml:space="preserve">Phase 2</w:t>
            </w:r>
          </w:p>
        </w:tc>
        <w:tc>
          <w:tcPr>
            <w:tcW w:type="dxa" w:w="2460"/>
            <w:tcBorders>
              <w:top w:val="none" w:sz="0"/>
              <w:left w:val="none" w:sz="0"/>
              <w:bottom w:val="none" w:sz="0"/>
              <w:right w:val="none" w:sz="0"/>
            </w:tcBorders>
            <w:shd w:fill="E6F4EA"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Priority: </w:t>
            </w:r>
            <w:r>
              <w:rPr>
                <w:rFonts w:ascii="Arial" w:cs="Arial" w:eastAsia="Arial" w:hAnsi="Arial"/>
                <w:color w:val="333333"/>
                <w:sz w:val="17"/>
                <w:szCs w:val="17"/>
              </w:rPr>
              <w:t xml:space="preserve">P1</w:t>
            </w:r>
          </w:p>
        </w:tc>
        <w:tc>
          <w:tcPr>
            <w:tcW w:type="dxa" w:w="2460"/>
            <w:tcBorders>
              <w:top w:val="none" w:sz="0"/>
              <w:left w:val="none" w:sz="0"/>
              <w:bottom w:val="none" w:sz="0"/>
              <w:right w:val="none" w:sz="0"/>
            </w:tcBorders>
            <w:shd w:fill="E6F4EA"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Effort: </w:t>
            </w:r>
            <w:r>
              <w:rPr>
                <w:rFonts w:ascii="Arial" w:cs="Arial" w:eastAsia="Arial" w:hAnsi="Arial"/>
                <w:color w:val="333333"/>
                <w:sz w:val="17"/>
                <w:szCs w:val="17"/>
              </w:rPr>
              <w:t xml:space="preserve">1-2 weeks</w:t>
            </w:r>
          </w:p>
        </w:tc>
        <w:tc>
          <w:tcPr>
            <w:tcW w:type="dxa" w:w="2460"/>
            <w:tcBorders>
              <w:top w:val="none" w:sz="0"/>
              <w:left w:val="none" w:sz="0"/>
              <w:bottom w:val="none" w:sz="0"/>
              <w:right w:val="none" w:sz="0"/>
            </w:tcBorders>
            <w:shd w:fill="E6F4EA"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ADRs: </w:t>
            </w:r>
            <w:r>
              <w:rPr>
                <w:rFonts w:ascii="Arial" w:cs="Arial" w:eastAsia="Arial" w:hAnsi="Arial"/>
                <w:color w:val="333333"/>
                <w:sz w:val="17"/>
                <w:szCs w:val="17"/>
              </w:rPr>
              <w:t xml:space="preserve">ADR-004 (privacy guardrails)</w:t>
            </w:r>
          </w:p>
        </w:tc>
      </w:tr>
    </w:tbl>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SSO authentication (Google/GitHub OAuth via NextAuth.js), role-based access control with three tiers: (1) GU Lead (full access including people financials), (2) Manager (team-level access with aggregated people data), (3) Viewer (dashboard-only, no individual financial data). The 3-tier permission model from ADR-004 controls what people analytics data each role can see.</w:t>
      </w:r>
    </w:p>
    <w:p>
      <w:pPr>
        <w:spacing w:after="120"/>
      </w:pPr>
      <w:r>
        <w:rPr>
          <w:rFonts w:ascii="Arial" w:cs="Arial" w:eastAsia="Arial" w:hAnsi="Arial"/>
          <w:b/>
          <w:bCs/>
          <w:color w:val="333333"/>
          <w:sz w:val="20"/>
          <w:szCs w:val="20"/>
        </w:rPr>
        <w:t xml:space="preserve">Depends on: </w:t>
      </w:r>
      <w:r>
        <w:rPr>
          <w:rFonts w:ascii="Arial" w:cs="Arial" w:eastAsia="Arial" w:hAnsi="Arial"/>
          <w:color w:val="333333"/>
          <w:sz w:val="20"/>
          <w:szCs w:val="20"/>
        </w:rPr>
        <w:t xml:space="preserve">EPIC-03</w:t>
      </w:r>
    </w:p>
    <w:p>
      <w:pPr>
        <w:spacing w:after="120"/>
      </w:pPr>
      <w:r>
        <w:rPr>
          <w:rFonts w:ascii="Arial" w:cs="Arial" w:eastAsia="Arial" w:hAnsi="Arial"/>
          <w:b/>
          <w:bCs/>
          <w:color w:val="E31937"/>
          <w:sz w:val="20"/>
          <w:szCs w:val="20"/>
        </w:rPr>
        <w:t xml:space="preserve">Replaces: </w:t>
      </w:r>
      <w:r>
        <w:rPr>
          <w:rFonts w:ascii="Arial" w:cs="Arial" w:eastAsia="Arial" w:hAnsi="Arial"/>
          <w:i/>
          <w:iCs/>
          <w:color w:val="666666"/>
          <w:sz w:val="20"/>
          <w:szCs w:val="20"/>
        </w:rPr>
        <w:t xml:space="preserve">role-directory authentication approach</w:t>
      </w:r>
    </w:p>
    <w:p>
      <w:pPr>
        <w:pStyle w:val="Heading3"/>
      </w:pPr>
      <w:r>
        <w:rPr>
          <w:rFonts w:ascii="Arial" w:cs="Arial" w:eastAsia="Arial" w:hAnsi="Arial"/>
          <w:b/>
          <w:bCs/>
          <w:color w:val="555555"/>
          <w:sz w:val="20"/>
          <w:szCs w:val="20"/>
        </w:rPr>
        <w:t xml:space="preserve">Key Deliverables</w:t>
      </w:r>
    </w:p>
    <w:p>
      <w:pPr>
        <w:pStyle w:val="ListParagraph"/>
        <w:numPr>
          <w:ilvl w:val="0"/>
          <w:numId w:val="2"/>
        </w:numPr>
        <w:spacing w:after="60"/>
      </w:pPr>
      <w:r>
        <w:rPr>
          <w:rFonts w:ascii="Arial" w:cs="Arial" w:eastAsia="Arial" w:hAnsi="Arial"/>
          <w:color w:val="333333"/>
          <w:sz w:val="19"/>
          <w:szCs w:val="19"/>
        </w:rPr>
        <w:t xml:space="preserve">NextAuth.js with OAuth providers</w:t>
      </w:r>
    </w:p>
    <w:p>
      <w:pPr>
        <w:pStyle w:val="ListParagraph"/>
        <w:numPr>
          <w:ilvl w:val="0"/>
          <w:numId w:val="2"/>
        </w:numPr>
        <w:spacing w:after="60"/>
      </w:pPr>
      <w:r>
        <w:rPr>
          <w:rFonts w:ascii="Arial" w:cs="Arial" w:eastAsia="Arial" w:hAnsi="Arial"/>
          <w:color w:val="333333"/>
          <w:sz w:val="19"/>
          <w:szCs w:val="19"/>
        </w:rPr>
        <w:t xml:space="preserve">3-tier role model (GU Lead, Manager, Viewer)</w:t>
      </w:r>
    </w:p>
    <w:p>
      <w:pPr>
        <w:pStyle w:val="ListParagraph"/>
        <w:numPr>
          <w:ilvl w:val="0"/>
          <w:numId w:val="2"/>
        </w:numPr>
        <w:spacing w:after="60"/>
      </w:pPr>
      <w:r>
        <w:rPr>
          <w:rFonts w:ascii="Arial" w:cs="Arial" w:eastAsia="Arial" w:hAnsi="Arial"/>
          <w:color w:val="333333"/>
          <w:sz w:val="19"/>
          <w:szCs w:val="19"/>
        </w:rPr>
        <w:t xml:space="preserve">People analytics privacy guardrails</w:t>
      </w:r>
    </w:p>
    <w:p>
      <w:pPr>
        <w:pStyle w:val="ListParagraph"/>
        <w:numPr>
          <w:ilvl w:val="0"/>
          <w:numId w:val="2"/>
        </w:numPr>
        <w:spacing w:after="60"/>
      </w:pPr>
      <w:r>
        <w:rPr>
          <w:rFonts w:ascii="Arial" w:cs="Arial" w:eastAsia="Arial" w:hAnsi="Arial"/>
          <w:color w:val="333333"/>
          <w:sz w:val="19"/>
          <w:szCs w:val="19"/>
        </w:rPr>
        <w:t xml:space="preserve">Session management</w:t>
      </w:r>
    </w:p>
    <w:p>
      <w:pPr>
        <w:pStyle w:val="ListParagraph"/>
        <w:numPr>
          <w:ilvl w:val="0"/>
          <w:numId w:val="2"/>
        </w:numPr>
        <w:spacing w:after="60"/>
      </w:pPr>
      <w:r>
        <w:rPr>
          <w:rFonts w:ascii="Arial" w:cs="Arial" w:eastAsia="Arial" w:hAnsi="Arial"/>
          <w:color w:val="333333"/>
          <w:sz w:val="19"/>
          <w:szCs w:val="19"/>
        </w:rPr>
        <w:t xml:space="preserve">Audit logging for data access</w:t>
      </w:r>
    </w:p>
    <w:p>
      <w:pPr>
        <w:spacing w:after="120"/>
      </w:pPr>
      <w:r>
        <w:rPr>
          <w:rFonts w:ascii="Arial" w:cs="Arial" w:eastAsia="Arial" w:hAnsi="Arial"/>
          <w:b w:val="false"/>
          <w:bCs w:val="false"/>
          <w:i w:val="false"/>
          <w:iCs w:val="false"/>
          <w:color w:val="333333"/>
          <w:sz w:val="20"/>
          <w:szCs w:val="20"/>
        </w:rPr>
        <w:t xml:space="preserve"/>
      </w:r>
    </w:p>
    <w:p>
      <w:pPr>
        <w:pStyle w:val="Heading2"/>
        <w:spacing w:after="120" w:before="300"/>
      </w:pPr>
      <w:r>
        <w:rPr>
          <w:rFonts w:ascii="Arial" w:cs="Arial" w:eastAsia="Arial" w:hAnsi="Arial"/>
          <w:b/>
          <w:bCs/>
          <w:color w:val="E31937"/>
          <w:sz w:val="24"/>
          <w:szCs w:val="24"/>
        </w:rPr>
        <w:t xml:space="preserve">EPIC-19  </w:t>
      </w:r>
      <w:r>
        <w:rPr>
          <w:rFonts w:ascii="Arial" w:cs="Arial" w:eastAsia="Arial" w:hAnsi="Arial"/>
          <w:b/>
          <w:bCs/>
          <w:color w:val="1B2A4A"/>
          <w:sz w:val="24"/>
          <w:szCs w:val="24"/>
        </w:rPr>
        <w:t xml:space="preserve">Historical Snapshots &amp; Time Travel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60"/>
        <w:gridCol w:w="2460"/>
        <w:gridCol w:w="2460"/>
        <w:gridCol w:w="2460"/>
      </w:tblGrid>
      <w:tr>
        <w:tc>
          <w:tcPr>
            <w:tcW w:type="dxa" w:w="2460"/>
            <w:tcBorders>
              <w:top w:val="none" w:sz="0"/>
              <w:left w:val="none" w:sz="0"/>
              <w:bottom w:val="none" w:sz="0"/>
              <w:right w:val="none" w:sz="0"/>
            </w:tcBorders>
            <w:shd w:fill="FFF3E0"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Phase: </w:t>
            </w:r>
            <w:r>
              <w:rPr>
                <w:rFonts w:ascii="Arial" w:cs="Arial" w:eastAsia="Arial" w:hAnsi="Arial"/>
                <w:color w:val="333333"/>
                <w:sz w:val="17"/>
                <w:szCs w:val="17"/>
              </w:rPr>
              <w:t xml:space="preserve">Phase 4</w:t>
            </w:r>
          </w:p>
        </w:tc>
        <w:tc>
          <w:tcPr>
            <w:tcW w:type="dxa" w:w="2460"/>
            <w:tcBorders>
              <w:top w:val="none" w:sz="0"/>
              <w:left w:val="none" w:sz="0"/>
              <w:bottom w:val="none" w:sz="0"/>
              <w:right w:val="none" w:sz="0"/>
            </w:tcBorders>
            <w:shd w:fill="FFF3E0"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Priority: </w:t>
            </w:r>
            <w:r>
              <w:rPr>
                <w:rFonts w:ascii="Arial" w:cs="Arial" w:eastAsia="Arial" w:hAnsi="Arial"/>
                <w:color w:val="333333"/>
                <w:sz w:val="17"/>
                <w:szCs w:val="17"/>
              </w:rPr>
              <w:t xml:space="preserve">P2</w:t>
            </w:r>
          </w:p>
        </w:tc>
        <w:tc>
          <w:tcPr>
            <w:tcW w:type="dxa" w:w="2460"/>
            <w:tcBorders>
              <w:top w:val="none" w:sz="0"/>
              <w:left w:val="none" w:sz="0"/>
              <w:bottom w:val="none" w:sz="0"/>
              <w:right w:val="none" w:sz="0"/>
            </w:tcBorders>
            <w:shd w:fill="FFF3E0"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Effort: </w:t>
            </w:r>
            <w:r>
              <w:rPr>
                <w:rFonts w:ascii="Arial" w:cs="Arial" w:eastAsia="Arial" w:hAnsi="Arial"/>
                <w:color w:val="333333"/>
                <w:sz w:val="17"/>
                <w:szCs w:val="17"/>
              </w:rPr>
              <w:t xml:space="preserve">1-2 weeks</w:t>
            </w:r>
          </w:p>
        </w:tc>
        <w:tc>
          <w:tcPr>
            <w:tcW w:type="dxa" w:w="2460"/>
            <w:tcBorders>
              <w:top w:val="none" w:sz="0"/>
              <w:left w:val="none" w:sz="0"/>
              <w:bottom w:val="none" w:sz="0"/>
              <w:right w:val="none" w:sz="0"/>
            </w:tcBorders>
            <w:shd w:fill="FFF3E0" w:val="clear"/>
            <w:tcMar>
              <w:top w:type="dxa" w:w="60"/>
              <w:left w:type="dxa" w:w="100"/>
              <w:bottom w:type="dxa" w:w="60"/>
              <w:right w:type="dxa" w:w="100"/>
            </w:tcMar>
            <w:vAlign w:val="center"/>
          </w:tcPr>
          <w:p>
            <w:pPr>
              <w:jc w:val="left"/>
            </w:pPr>
            <w:r>
              <w:rPr>
                <w:rFonts w:ascii="Arial" w:cs="Arial" w:eastAsia="Arial" w:hAnsi="Arial"/>
                <w:b/>
                <w:bCs/>
                <w:color w:val="666666"/>
                <w:sz w:val="17"/>
                <w:szCs w:val="17"/>
              </w:rPr>
              <w:t xml:space="preserve">ADRs: </w:t>
            </w:r>
            <w:r>
              <w:rPr>
                <w:rFonts w:ascii="Arial" w:cs="Arial" w:eastAsia="Arial" w:hAnsi="Arial"/>
                <w:color w:val="333333"/>
                <w:sz w:val="17"/>
                <w:szCs w:val="17"/>
              </w:rPr>
              <w:t xml:space="preserve">ADR-001</w:t>
            </w:r>
          </w:p>
        </w:tc>
      </w:tr>
    </w:tbl>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Snapshot management that preserves each data load as a versioned point-in-time. Users can select any historical snapshot to see the cockpit as it would have appeared at that moment. Enables forecast evolution analysis (how did the forecast for Q3 change from January to June?) and retrospective accuracy assessment.</w:t>
      </w:r>
    </w:p>
    <w:p>
      <w:pPr>
        <w:spacing w:after="120"/>
      </w:pPr>
      <w:r>
        <w:rPr>
          <w:rFonts w:ascii="Arial" w:cs="Arial" w:eastAsia="Arial" w:hAnsi="Arial"/>
          <w:b/>
          <w:bCs/>
          <w:color w:val="333333"/>
          <w:sz w:val="20"/>
          <w:szCs w:val="20"/>
        </w:rPr>
        <w:t xml:space="preserve">Depends on: </w:t>
      </w:r>
      <w:r>
        <w:rPr>
          <w:rFonts w:ascii="Arial" w:cs="Arial" w:eastAsia="Arial" w:hAnsi="Arial"/>
          <w:color w:val="333333"/>
          <w:sz w:val="20"/>
          <w:szCs w:val="20"/>
        </w:rPr>
        <w:t xml:space="preserve">EPIC-02</w:t>
      </w:r>
    </w:p>
    <w:p>
      <w:pPr>
        <w:spacing w:after="120"/>
      </w:pPr>
      <w:r>
        <w:rPr>
          <w:rFonts w:ascii="Arial" w:cs="Arial" w:eastAsia="Arial" w:hAnsi="Arial"/>
          <w:b/>
          <w:bCs/>
          <w:color w:val="E31937"/>
          <w:sz w:val="20"/>
          <w:szCs w:val="20"/>
        </w:rPr>
        <w:t xml:space="preserve">Replaces: </w:t>
      </w:r>
      <w:r>
        <w:rPr>
          <w:rFonts w:ascii="Arial" w:cs="Arial" w:eastAsia="Arial" w:hAnsi="Arial"/>
          <w:i/>
          <w:iCs/>
          <w:color w:val="666666"/>
          <w:sz w:val="20"/>
          <w:szCs w:val="20"/>
        </w:rPr>
        <w:t xml:space="preserve">Manual comparison of multiple Excel files</w:t>
      </w:r>
    </w:p>
    <w:p>
      <w:pPr>
        <w:pStyle w:val="Heading3"/>
      </w:pPr>
      <w:r>
        <w:rPr>
          <w:rFonts w:ascii="Arial" w:cs="Arial" w:eastAsia="Arial" w:hAnsi="Arial"/>
          <w:b/>
          <w:bCs/>
          <w:color w:val="555555"/>
          <w:sz w:val="20"/>
          <w:szCs w:val="20"/>
        </w:rPr>
        <w:t xml:space="preserve">Key Deliverables</w:t>
      </w:r>
    </w:p>
    <w:p>
      <w:pPr>
        <w:pStyle w:val="ListParagraph"/>
        <w:numPr>
          <w:ilvl w:val="0"/>
          <w:numId w:val="2"/>
        </w:numPr>
        <w:spacing w:after="60"/>
      </w:pPr>
      <w:r>
        <w:rPr>
          <w:rFonts w:ascii="Arial" w:cs="Arial" w:eastAsia="Arial" w:hAnsi="Arial"/>
          <w:color w:val="333333"/>
          <w:sz w:val="19"/>
          <w:szCs w:val="19"/>
        </w:rPr>
        <w:t xml:space="preserve">Snapshot versioning for each data load</w:t>
      </w:r>
    </w:p>
    <w:p>
      <w:pPr>
        <w:pStyle w:val="ListParagraph"/>
        <w:numPr>
          <w:ilvl w:val="0"/>
          <w:numId w:val="2"/>
        </w:numPr>
        <w:spacing w:after="60"/>
      </w:pPr>
      <w:r>
        <w:rPr>
          <w:rFonts w:ascii="Arial" w:cs="Arial" w:eastAsia="Arial" w:hAnsi="Arial"/>
          <w:color w:val="333333"/>
          <w:sz w:val="19"/>
          <w:szCs w:val="19"/>
        </w:rPr>
        <w:t xml:space="preserve">Time travel selector in global filter bar</w:t>
      </w:r>
    </w:p>
    <w:p>
      <w:pPr>
        <w:pStyle w:val="ListParagraph"/>
        <w:numPr>
          <w:ilvl w:val="0"/>
          <w:numId w:val="2"/>
        </w:numPr>
        <w:spacing w:after="60"/>
      </w:pPr>
      <w:r>
        <w:rPr>
          <w:rFonts w:ascii="Arial" w:cs="Arial" w:eastAsia="Arial" w:hAnsi="Arial"/>
          <w:color w:val="333333"/>
          <w:sz w:val="19"/>
          <w:szCs w:val="19"/>
        </w:rPr>
        <w:t xml:space="preserve">Forecast evolution visualization</w:t>
      </w:r>
    </w:p>
    <w:p>
      <w:pPr>
        <w:pStyle w:val="ListParagraph"/>
        <w:numPr>
          <w:ilvl w:val="0"/>
          <w:numId w:val="2"/>
        </w:numPr>
        <w:spacing w:after="60"/>
      </w:pPr>
      <w:r>
        <w:rPr>
          <w:rFonts w:ascii="Arial" w:cs="Arial" w:eastAsia="Arial" w:hAnsi="Arial"/>
          <w:color w:val="333333"/>
          <w:sz w:val="19"/>
          <w:szCs w:val="19"/>
        </w:rPr>
        <w:t xml:space="preserve">Retrospective forecast accuracy dashboard</w:t>
      </w:r>
    </w:p>
    <w:p>
      <w:pPr>
        <w:pStyle w:val="ListParagraph"/>
        <w:numPr>
          <w:ilvl w:val="0"/>
          <w:numId w:val="2"/>
        </w:numPr>
        <w:spacing w:after="60"/>
      </w:pPr>
      <w:r>
        <w:rPr>
          <w:rFonts w:ascii="Arial" w:cs="Arial" w:eastAsia="Arial" w:hAnsi="Arial"/>
          <w:color w:val="333333"/>
          <w:sz w:val="19"/>
          <w:szCs w:val="19"/>
        </w:rPr>
        <w:t xml:space="preserve">Snapshot comparison tool (any two points in time)</w:t>
      </w:r>
    </w:p>
    <w:p>
      <w:pPr>
        <w:spacing w:after="120"/>
      </w:pPr>
      <w:r>
        <w:rPr>
          <w:rFonts w:ascii="Arial" w:cs="Arial" w:eastAsia="Arial" w:hAnsi="Arial"/>
          <w:b w:val="false"/>
          <w:bCs w:val="false"/>
          <w:i w:val="false"/>
          <w:iCs w:val="false"/>
          <w:color w:val="333333"/>
          <w:sz w:val="20"/>
          <w:szCs w:val="20"/>
        </w:rPr>
        <w:t xml:space="preserve"/>
      </w:r>
    </w:p>
    <w:p>
      <w:r>
        <w:br w:type="page"/>
      </w:r>
    </w:p>
    <w:p>
      <w:pPr>
        <w:pStyle w:val="Heading1"/>
        <w:spacing w:after="200" w:before="360"/>
      </w:pPr>
      <w:r>
        <w:rPr>
          <w:rFonts w:ascii="Arial" w:cs="Arial" w:eastAsia="Arial" w:hAnsi="Arial"/>
          <w:b/>
          <w:bCs/>
          <w:color w:val="1B2A4A"/>
          <w:sz w:val="28"/>
          <w:szCs w:val="28"/>
        </w:rPr>
        <w:t xml:space="preserve">5. Dependency Map</w:t>
      </w:r>
    </w:p>
    <w:p>
      <w:pPr>
        <w:spacing w:after="120"/>
      </w:pPr>
      <w:r>
        <w:rPr>
          <w:rFonts w:ascii="Arial" w:cs="Arial" w:eastAsia="Arial" w:hAnsi="Arial"/>
          <w:b w:val="false"/>
          <w:bCs w:val="false"/>
          <w:i w:val="false"/>
          <w:iCs w:val="false"/>
          <w:color w:val="333333"/>
          <w:sz w:val="20"/>
          <w:szCs w:val="20"/>
        </w:rPr>
        <w:t xml:space="preserve">The following shows the critical path through the backlog. Phase 0 epics are sequential (infrastructure before schema before ETL). Phase 1 epics fan out in parallel once ETL is ready. Phase 2-4 epics depend on their respective foundation layers.</w:t>
      </w:r>
    </w:p>
    <w:p>
      <w:pPr>
        <w:spacing w:after="120"/>
      </w:pPr>
      <w:r>
        <w:rPr>
          <w:rFonts w:ascii="Arial" w:cs="Arial" w:eastAsia="Arial" w:hAnsi="Arial"/>
          <w:b/>
          <w:bCs/>
          <w:i w:val="false"/>
          <w:iCs w:val="false"/>
          <w:color w:val="333333"/>
          <w:sz w:val="20"/>
          <w:szCs w:val="20"/>
        </w:rPr>
        <w:t xml:space="preserve">Phase 0 (Sequential):</w:t>
      </w:r>
    </w:p>
    <w:p>
      <w:pPr>
        <w:spacing w:after="120"/>
      </w:pPr>
      <w:r>
        <w:rPr>
          <w:rFonts w:ascii="Arial" w:cs="Arial" w:eastAsia="Arial" w:hAnsi="Arial"/>
          <w:b w:val="false"/>
          <w:bCs w:val="false"/>
          <w:i w:val="false"/>
          <w:iCs w:val="false"/>
          <w:color w:val="333333"/>
          <w:sz w:val="20"/>
          <w:szCs w:val="20"/>
        </w:rPr>
        <w:t xml:space="preserve">  EPIC-00 (Infrastructure) → EPIC-01 (Schema) → EPIC-02 (ETL)</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bCs/>
          <w:i w:val="false"/>
          <w:iCs w:val="false"/>
          <w:color w:val="333333"/>
          <w:sz w:val="20"/>
          <w:szCs w:val="20"/>
        </w:rPr>
        <w:t xml:space="preserve">Phase 1 (Parallel after EPIC-02 + EPIC-03):</w:t>
      </w:r>
    </w:p>
    <w:p>
      <w:pPr>
        <w:spacing w:after="120"/>
      </w:pPr>
      <w:r>
        <w:rPr>
          <w:rFonts w:ascii="Arial" w:cs="Arial" w:eastAsia="Arial" w:hAnsi="Arial"/>
          <w:b w:val="false"/>
          <w:bCs w:val="false"/>
          <w:i w:val="false"/>
          <w:iCs w:val="false"/>
          <w:color w:val="333333"/>
          <w:sz w:val="20"/>
          <w:szCs w:val="20"/>
        </w:rPr>
        <w:t xml:space="preserve">  EPIC-03 (Shell) can start with EPIC-00</w:t>
      </w:r>
    </w:p>
    <w:p>
      <w:pPr>
        <w:spacing w:after="120"/>
      </w:pPr>
      <w:r>
        <w:rPr>
          <w:rFonts w:ascii="Arial" w:cs="Arial" w:eastAsia="Arial" w:hAnsi="Arial"/>
          <w:b w:val="false"/>
          <w:bCs w:val="false"/>
          <w:i w:val="false"/>
          <w:iCs w:val="false"/>
          <w:color w:val="333333"/>
          <w:sz w:val="20"/>
          <w:szCs w:val="20"/>
        </w:rPr>
        <w:t xml:space="preserve">  EPIC-04 (Financial Overview) needs EPIC-02 + EPIC-03</w:t>
      </w:r>
    </w:p>
    <w:p>
      <w:pPr>
        <w:spacing w:after="120"/>
      </w:pPr>
      <w:r>
        <w:rPr>
          <w:rFonts w:ascii="Arial" w:cs="Arial" w:eastAsia="Arial" w:hAnsi="Arial"/>
          <w:b w:val="false"/>
          <w:bCs w:val="false"/>
          <w:i w:val="false"/>
          <w:iCs w:val="false"/>
          <w:color w:val="333333"/>
          <w:sz w:val="20"/>
          <w:szCs w:val="20"/>
        </w:rPr>
        <w:t xml:space="preserve">  EPIC-05 (Client Scorecards) needs EPIC-02 + EPIC-03</w:t>
      </w:r>
    </w:p>
    <w:p>
      <w:pPr>
        <w:spacing w:after="120"/>
      </w:pPr>
      <w:r>
        <w:rPr>
          <w:rFonts w:ascii="Arial" w:cs="Arial" w:eastAsia="Arial" w:hAnsi="Arial"/>
          <w:b w:val="false"/>
          <w:bCs w:val="false"/>
          <w:i w:val="false"/>
          <w:iCs w:val="false"/>
          <w:color w:val="333333"/>
          <w:sz w:val="20"/>
          <w:szCs w:val="20"/>
        </w:rPr>
        <w:t xml:space="preserve">  EPIC-06 (Budget vs Actual) needs EPIC-02 + EPIC-03</w:t>
      </w:r>
    </w:p>
    <w:p>
      <w:pPr>
        <w:spacing w:after="120"/>
      </w:pPr>
      <w:r>
        <w:rPr>
          <w:rFonts w:ascii="Arial" w:cs="Arial" w:eastAsia="Arial" w:hAnsi="Arial"/>
          <w:b w:val="false"/>
          <w:bCs w:val="false"/>
          <w:i w:val="false"/>
          <w:iCs w:val="false"/>
          <w:color w:val="333333"/>
          <w:sz w:val="20"/>
          <w:szCs w:val="20"/>
        </w:rPr>
        <w:t xml:space="preserve">  EPIC-07 (Revenue Pipeline) needs EPIC-02 + EPIC-03</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bCs/>
          <w:i w:val="false"/>
          <w:iCs w:val="false"/>
          <w:color w:val="333333"/>
          <w:sz w:val="20"/>
          <w:szCs w:val="20"/>
        </w:rPr>
        <w:t xml:space="preserve">Phase 2 (Parallel once Phase 1 core is ready):</w:t>
      </w:r>
    </w:p>
    <w:p>
      <w:pPr>
        <w:spacing w:after="120"/>
      </w:pPr>
      <w:r>
        <w:rPr>
          <w:rFonts w:ascii="Arial" w:cs="Arial" w:eastAsia="Arial" w:hAnsi="Arial"/>
          <w:b w:val="false"/>
          <w:bCs w:val="false"/>
          <w:i w:val="false"/>
          <w:iCs w:val="false"/>
          <w:color w:val="333333"/>
          <w:sz w:val="20"/>
          <w:szCs w:val="20"/>
        </w:rPr>
        <w:t xml:space="preserve">  EPIC-08 (Cost Deep Dive) needs EPIC-04</w:t>
      </w:r>
    </w:p>
    <w:p>
      <w:pPr>
        <w:spacing w:after="120"/>
      </w:pPr>
      <w:r>
        <w:rPr>
          <w:rFonts w:ascii="Arial" w:cs="Arial" w:eastAsia="Arial" w:hAnsi="Arial"/>
          <w:b w:val="false"/>
          <w:bCs w:val="false"/>
          <w:i w:val="false"/>
          <w:iCs w:val="false"/>
          <w:color w:val="333333"/>
          <w:sz w:val="20"/>
          <w:szCs w:val="20"/>
        </w:rPr>
        <w:t xml:space="preserve">  EPIC-09 (People Analytics) needs EPIC-02 + EPIC-03</w:t>
      </w:r>
    </w:p>
    <w:p>
      <w:pPr>
        <w:spacing w:after="120"/>
      </w:pPr>
      <w:r>
        <w:rPr>
          <w:rFonts w:ascii="Arial" w:cs="Arial" w:eastAsia="Arial" w:hAnsi="Arial"/>
          <w:b w:val="false"/>
          <w:bCs w:val="false"/>
          <w:i w:val="false"/>
          <w:iCs w:val="false"/>
          <w:color w:val="333333"/>
          <w:sz w:val="20"/>
          <w:szCs w:val="20"/>
        </w:rPr>
        <w:t xml:space="preserve">  EPIC-10 (Capacity Planning) needs EPIC-01 + EPIC-03</w:t>
      </w:r>
    </w:p>
    <w:p>
      <w:pPr>
        <w:spacing w:after="120"/>
      </w:pPr>
      <w:r>
        <w:rPr>
          <w:rFonts w:ascii="Arial" w:cs="Arial" w:eastAsia="Arial" w:hAnsi="Arial"/>
          <w:b w:val="false"/>
          <w:bCs w:val="false"/>
          <w:i w:val="false"/>
          <w:iCs w:val="false"/>
          <w:color w:val="333333"/>
          <w:sz w:val="20"/>
          <w:szCs w:val="20"/>
        </w:rPr>
        <w:t xml:space="preserve">  EPIC-11 (Alerts) needs EPIC-01 + EPIC-02</w:t>
      </w:r>
    </w:p>
    <w:p>
      <w:pPr>
        <w:spacing w:after="120"/>
      </w:pPr>
      <w:r>
        <w:rPr>
          <w:rFonts w:ascii="Arial" w:cs="Arial" w:eastAsia="Arial" w:hAnsi="Arial"/>
          <w:b w:val="false"/>
          <w:bCs w:val="false"/>
          <w:i w:val="false"/>
          <w:iCs w:val="false"/>
          <w:color w:val="333333"/>
          <w:sz w:val="20"/>
          <w:szCs w:val="20"/>
        </w:rPr>
        <w:t xml:space="preserve">  EPIC-17 (Reports) needs EPIC-04 + EPIC-05</w:t>
      </w:r>
    </w:p>
    <w:p>
      <w:pPr>
        <w:spacing w:after="120"/>
      </w:pPr>
      <w:r>
        <w:rPr>
          <w:rFonts w:ascii="Arial" w:cs="Arial" w:eastAsia="Arial" w:hAnsi="Arial"/>
          <w:b w:val="false"/>
          <w:bCs w:val="false"/>
          <w:i w:val="false"/>
          <w:iCs w:val="false"/>
          <w:color w:val="333333"/>
          <w:sz w:val="20"/>
          <w:szCs w:val="20"/>
        </w:rPr>
        <w:t xml:space="preserve">  EPIC-18 (Auth) needs EPIC-03</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bCs/>
          <w:i w:val="false"/>
          <w:iCs w:val="false"/>
          <w:color w:val="333333"/>
          <w:sz w:val="20"/>
          <w:szCs w:val="20"/>
        </w:rPr>
        <w:t xml:space="preserve">Phase 3 (After ML Foundation):</w:t>
      </w:r>
    </w:p>
    <w:p>
      <w:pPr>
        <w:spacing w:after="120"/>
      </w:pPr>
      <w:r>
        <w:rPr>
          <w:rFonts w:ascii="Arial" w:cs="Arial" w:eastAsia="Arial" w:hAnsi="Arial"/>
          <w:b w:val="false"/>
          <w:bCs w:val="false"/>
          <w:i w:val="false"/>
          <w:iCs w:val="false"/>
          <w:color w:val="333333"/>
          <w:sz w:val="20"/>
          <w:szCs w:val="20"/>
        </w:rPr>
        <w:t xml:space="preserve">  EPIC-12 (ML Foundation) needs EPIC-01</w:t>
      </w:r>
    </w:p>
    <w:p>
      <w:pPr>
        <w:spacing w:after="120"/>
      </w:pPr>
      <w:r>
        <w:rPr>
          <w:rFonts w:ascii="Arial" w:cs="Arial" w:eastAsia="Arial" w:hAnsi="Arial"/>
          <w:b w:val="false"/>
          <w:bCs w:val="false"/>
          <w:i w:val="false"/>
          <w:iCs w:val="false"/>
          <w:color w:val="333333"/>
          <w:sz w:val="20"/>
          <w:szCs w:val="20"/>
        </w:rPr>
        <w:t xml:space="preserve">  EPIC-13 (Revenue/Margin Predictions) needs EPIC-12 + EPIC-04</w:t>
      </w:r>
    </w:p>
    <w:p>
      <w:pPr>
        <w:spacing w:after="120"/>
      </w:pPr>
      <w:r>
        <w:rPr>
          <w:rFonts w:ascii="Arial" w:cs="Arial" w:eastAsia="Arial" w:hAnsi="Arial"/>
          <w:b w:val="false"/>
          <w:bCs w:val="false"/>
          <w:i w:val="false"/>
          <w:iCs w:val="false"/>
          <w:color w:val="333333"/>
          <w:sz w:val="20"/>
          <w:szCs w:val="20"/>
        </w:rPr>
        <w:t xml:space="preserve">  EPIC-14 (Utilization Predictions) needs EPIC-12 + EPIC-09 + EPIC-10</w:t>
      </w:r>
    </w:p>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bCs/>
          <w:i w:val="false"/>
          <w:iCs w:val="false"/>
          <w:color w:val="333333"/>
          <w:sz w:val="20"/>
          <w:szCs w:val="20"/>
        </w:rPr>
        <w:t xml:space="preserve">Phase 4 (After Phase 3 models validated):</w:t>
      </w:r>
    </w:p>
    <w:p>
      <w:pPr>
        <w:spacing w:after="120"/>
      </w:pPr>
      <w:r>
        <w:rPr>
          <w:rFonts w:ascii="Arial" w:cs="Arial" w:eastAsia="Arial" w:hAnsi="Arial"/>
          <w:b w:val="false"/>
          <w:bCs w:val="false"/>
          <w:i w:val="false"/>
          <w:iCs w:val="false"/>
          <w:color w:val="333333"/>
          <w:sz w:val="20"/>
          <w:szCs w:val="20"/>
        </w:rPr>
        <w:t xml:space="preserve">  EPIC-15 (Churn/Variance/Promotion) needs EPIC-12 + EPIC-05 + EPIC-09</w:t>
      </w:r>
    </w:p>
    <w:p>
      <w:pPr>
        <w:spacing w:after="120"/>
      </w:pPr>
      <w:r>
        <w:rPr>
          <w:rFonts w:ascii="Arial" w:cs="Arial" w:eastAsia="Arial" w:hAnsi="Arial"/>
          <w:b w:val="false"/>
          <w:bCs w:val="false"/>
          <w:i w:val="false"/>
          <w:iCs w:val="false"/>
          <w:color w:val="333333"/>
          <w:sz w:val="20"/>
          <w:szCs w:val="20"/>
        </w:rPr>
        <w:t xml:space="preserve">  EPIC-16 (Capacity Forecasting) needs EPIC-12 + EPIC-10</w:t>
      </w:r>
    </w:p>
    <w:p>
      <w:pPr>
        <w:spacing w:after="120"/>
      </w:pPr>
      <w:r>
        <w:rPr>
          <w:rFonts w:ascii="Arial" w:cs="Arial" w:eastAsia="Arial" w:hAnsi="Arial"/>
          <w:b w:val="false"/>
          <w:bCs w:val="false"/>
          <w:i w:val="false"/>
          <w:iCs w:val="false"/>
          <w:color w:val="333333"/>
          <w:sz w:val="20"/>
          <w:szCs w:val="20"/>
        </w:rPr>
        <w:t xml:space="preserve">  EPIC-19 (Time Travel) needs EPIC-02</w:t>
      </w:r>
    </w:p>
    <w:p>
      <w:r>
        <w:br w:type="page"/>
      </w:r>
    </w:p>
    <w:p>
      <w:pPr>
        <w:pStyle w:val="Heading1"/>
        <w:spacing w:after="200" w:before="360"/>
      </w:pPr>
      <w:r>
        <w:rPr>
          <w:rFonts w:ascii="Arial" w:cs="Arial" w:eastAsia="Arial" w:hAnsi="Arial"/>
          <w:b/>
          <w:bCs/>
          <w:color w:val="1B2A4A"/>
          <w:sz w:val="28"/>
          <w:szCs w:val="28"/>
        </w:rPr>
        <w:t xml:space="preserve">6. Project Consolidation Map</w:t>
      </w:r>
    </w:p>
    <w:p>
      <w:pPr>
        <w:spacing w:after="120"/>
      </w:pPr>
      <w:r>
        <w:rPr>
          <w:rFonts w:ascii="Arial" w:cs="Arial" w:eastAsia="Arial" w:hAnsi="Arial"/>
          <w:b w:val="false"/>
          <w:bCs w:val="false"/>
          <w:i w:val="false"/>
          <w:iCs w:val="false"/>
          <w:color w:val="333333"/>
          <w:sz w:val="20"/>
          <w:szCs w:val="20"/>
        </w:rPr>
        <w:t xml:space="preserve">This section maps each existing project to the epic(s) that absorb it, making clear what gets carried forward and what gets retired.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404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Existing Project</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Status</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Absorbed By</w:t>
            </w:r>
          </w:p>
        </w:tc>
        <w:tc>
          <w:tcPr>
            <w:tcW w:type="dxa" w:w="40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What Carries Forward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portfolio-mgm-cockpit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Partial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EPIC-03, 04, 05</w:t>
            </w:r>
          </w:p>
        </w:tc>
        <w:tc>
          <w:tcPr>
            <w:tcW w:type="dxa" w:w="4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Component patterns (scorecard, pivot table), theme system, PostgreSQL connection logic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ProfileBook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Iter 1 done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EPIC-09</w:t>
            </w:r>
          </w:p>
        </w:tc>
        <w:tc>
          <w:tcPr>
            <w:tcW w:type="dxa" w:w="4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Navigation patterns, search/filter UX, 500-record dev dataset concept, iteration planning methodology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profile-book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Epic 1 WIP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EPIC-09</w:t>
            </w:r>
          </w:p>
        </w:tc>
        <w:tc>
          <w:tcPr>
            <w:tcW w:type="dxa" w:w="4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741 tests (patterns), ATDD approach, BMAD workflow, architecture validation methodology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role-directory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Epic 2 WIP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EPIC-00, 18</w:t>
            </w:r>
          </w:p>
        </w:tc>
        <w:tc>
          <w:tcPr>
            <w:tcW w:type="dxa" w:w="4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Neon auth research, Cloud Run learnings (inform VM setup), migration runner pattern, Zod config validation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2026_Hoshin_Nova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Complete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EPIC-02, 17</w:t>
            </w:r>
          </w:p>
        </w:tc>
        <w:tc>
          <w:tcPr>
            <w:tcW w:type="dxa" w:w="4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ETL logic (load_outlook_data.py), report templates, PDCA structure, strategic KPI definitions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CPSBok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Complete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Reference only</w:t>
            </w:r>
          </w:p>
        </w:tc>
        <w:tc>
          <w:tcPr>
            <w:tcW w:type="dxa" w:w="4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BCP estimation methodology, story format templates, CPS workflow reference for team processes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mgm-cockpit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Empty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Retired</w:t>
            </w:r>
          </w:p>
        </w:tc>
        <w:tc>
          <w:tcPr>
            <w:tcW w:type="dxa" w:w="4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Nothing (superseded)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333333"/>
                <w:sz w:val="18"/>
                <w:szCs w:val="18"/>
              </w:rPr>
              <w:t xml:space="preserve">Power BI dashboards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Production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EPIC-04 to 08</w:t>
            </w:r>
          </w:p>
        </w:tc>
        <w:tc>
          <w:tcPr>
            <w:tcW w:type="dxa" w:w="40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Visual design patterns, KPI definitions, filter structure, chart types, user workflows</w:t>
            </w:r>
          </w:p>
        </w:tc>
      </w:tr>
    </w:tbl>
    <w:p>
      <w:r>
        <w:br w:type="page"/>
      </w:r>
    </w:p>
    <w:p>
      <w:pPr>
        <w:pStyle w:val="Heading1"/>
        <w:spacing w:after="200" w:before="360"/>
      </w:pPr>
      <w:r>
        <w:rPr>
          <w:rFonts w:ascii="Arial" w:cs="Arial" w:eastAsia="Arial" w:hAnsi="Arial"/>
          <w:b/>
          <w:bCs/>
          <w:color w:val="1B2A4A"/>
          <w:sz w:val="28"/>
          <w:szCs w:val="28"/>
        </w:rPr>
        <w:t xml:space="preserve">7. Risks &amp; Mitigations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640"/>
      </w:tblGrid>
      <w:tr>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Risk</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Impact</w:t>
            </w:r>
          </w:p>
        </w:tc>
        <w:tc>
          <w:tcPr>
            <w:tcW w:type="dxa" w:w="56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7"/>
                <w:szCs w:val="17"/>
              </w:rPr>
              <w:t xml:space="preserve">Mitigation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Single developer bottleneck</w:t>
            </w:r>
          </w:p>
        </w:tc>
        <w:tc>
          <w:tcPr>
            <w:tcW w:type="dxa" w:w="1200"/>
            <w:tcBorders>
              <w:top w:val="single" w:color="CCCCCC" w:sz="1"/>
              <w:left w:val="single" w:color="CCCCCC" w:sz="1"/>
              <w:bottom w:val="single" w:color="CCCCCC" w:sz="1"/>
              <w:right w:val="single" w:color="CCCCCC" w:sz="1"/>
            </w:tcBorders>
            <w:shd w:fill="FFCDD2"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High</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Phase 0+1 are self-contained and deliver immediate value. Ship incrementally.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Oracle Cloud free tier limits</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Medium</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4 cores + 24 GB RAM is generous. Monitor disk usage; add block storage if needed (still free).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ETL pipeline complexity with Excel</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Medium</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The 32-column schema is uniform. The 2026_Hoshin_Nova scripts already handle parsing. Reuse that logic.</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ML model accuracy with limited data</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Medium</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4 years of monthly data is decent. Start with simple models (Prophet). Always show confidence intervals.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Data quality in Excel uploads</w:t>
            </w:r>
          </w:p>
        </w:tc>
        <w:tc>
          <w:tcPr>
            <w:tcW w:type="dxa" w:w="12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Medium</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Schema validation on upload. Quarantine malformed rows. Reconciliation checks against known totals.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Power BI users resist migration</w:t>
            </w:r>
          </w:p>
        </w:tc>
        <w:tc>
          <w:tcPr>
            <w:tcW w:type="dxa" w:w="1200"/>
            <w:tcBorders>
              <w:top w:val="single" w:color="CCCCCC" w:sz="1"/>
              <w:left w:val="single" w:color="CCCCCC" w:sz="1"/>
              <w:bottom w:val="single" w:color="CCCCCC" w:sz="1"/>
              <w:right w:val="single" w:color="CCCCCC" w:sz="1"/>
            </w:tcBorders>
            <w:shd w:fill="E6F4EA" w:val="clear"/>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Low</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333333"/>
                <w:sz w:val="18"/>
                <w:szCs w:val="18"/>
              </w:rPr>
              <w:t xml:space="preserve">Run both in parallel during Phase 1. Cockpit adds predictions and people analytics that Power BI cannot.</w:t>
            </w:r>
          </w:p>
        </w:tc>
      </w:tr>
    </w:tbl>
    <w:p>
      <w:pPr>
        <w:spacing w:after="120"/>
      </w:pPr>
      <w:r>
        <w:rPr>
          <w:rFonts w:ascii="Arial" w:cs="Arial" w:eastAsia="Arial" w:hAnsi="Arial"/>
          <w:b w:val="false"/>
          <w:bCs w:val="false"/>
          <w:i w:val="false"/>
          <w:iCs w:val="false"/>
          <w:color w:val="333333"/>
          <w:sz w:val="20"/>
          <w:szCs w:val="20"/>
        </w:rPr>
        <w:t xml:space="preserve"/>
      </w:r>
    </w:p>
    <w:p>
      <w:pPr>
        <w:spacing w:after="120"/>
      </w:pPr>
      <w:r>
        <w:rPr>
          <w:rFonts w:ascii="Arial" w:cs="Arial" w:eastAsia="Arial" w:hAnsi="Arial"/>
          <w:b w:val="false"/>
          <w:bCs w:val="false"/>
          <w:i w:val="false"/>
          <w:iCs w:val="false"/>
          <w:color w:val="333333"/>
          <w:sz w:val="20"/>
          <w:szCs w:val="20"/>
        </w:rPr>
        <w:t xml:space="preserve"/>
      </w:r>
    </w:p>
    <w:p>
      <w:pPr>
        <w:pBdr>
          <w:top w:val="single" w:color="E31937" w:sz="6" w:space="8"/>
        </w:pBdr>
        <w:spacing w:before="400"/>
      </w:pPr>
      <w:r>
        <w:rPr>
          <w:rFonts w:ascii="Arial" w:cs="Arial" w:eastAsia="Arial" w:hAnsi="Arial"/>
          <w:b/>
          <w:bCs/>
          <w:color w:val="1B2A4A"/>
          <w:sz w:val="20"/>
          <w:szCs w:val="20"/>
        </w:rPr>
        <w:t xml:space="preserve">Next step: Review this backlog, prioritize within phases, and begin EPIC-00 + EPIC-03 in parallel.</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Portfolio Management Cockpit — Product Backlog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B2A4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2026-03-16T13:15:03.568Z</dcterms:created>
  <dcterms:modified xsi:type="dcterms:W3CDTF">2026-03-16T13:15:03.568Z</dcterms:modified>
</cp:coreProperties>
</file>

<file path=docProps/custom.xml><?xml version="1.0" encoding="utf-8"?>
<Properties xmlns="http://schemas.openxmlformats.org/officeDocument/2006/custom-properties" xmlns:vt="http://schemas.openxmlformats.org/officeDocument/2006/docPropsVTypes"/>
</file>