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6FEB"/>
          <w:sz w:val="20"/>
          <w:szCs w:val="20"/>
        </w:rPr>
        <w:t xml:space="preserve">INSIGHT SERIES  |  </w:t>
      </w:r>
      <w:r>
        <w:rPr>
          <w:rFonts w:ascii="Arial" w:cs="Arial" w:eastAsia="Arial" w:hAnsi="Arial"/>
          <w:b/>
          <w:bCs/>
          <w:color w:val="0B2545"/>
          <w:sz w:val="20"/>
          <w:szCs w:val="20"/>
        </w:rPr>
        <w:t xml:space="preserve">Software Engineering Excellence</w:t>
      </w:r>
    </w:p>
    <w:p>
      <w:pPr>
        <w:pBdr>
          <w:bottom w:val="single" w:color="1F6FEB" w:sz="18" w:space="1"/>
        </w:pBdr>
        <w:spacing w:after="600" w:before="0"/>
      </w:pPr>
      <w:r>
        <w:rPr>
          <w:rFonts w:ascii="Arial" w:cs="Arial" w:eastAsia="Arial" w:hAnsi="Arial"/>
          <w:sz w:val="2"/>
          <w:szCs w:val="2"/>
        </w:rPr>
        <w:t xml:space="preserve"/>
      </w:r>
    </w:p>
    <w:p>
      <w:pPr>
        <w:spacing w:after="120" w:before="0"/>
      </w:pPr>
      <w:r>
        <w:rPr>
          <w:rFonts w:ascii="Arial" w:cs="Arial" w:eastAsia="Arial" w:hAnsi="Arial"/>
          <w:b/>
          <w:bCs/>
          <w:color w:val="0B2545"/>
          <w:sz w:val="56"/>
          <w:szCs w:val="56"/>
        </w:rPr>
        <w:t xml:space="preserve">Re-running the story-format experiment</w:t>
      </w:r>
    </w:p>
    <w:p>
      <w:pPr>
        <w:spacing w:after="60" w:before="0"/>
      </w:pPr>
      <w:r>
        <w:rPr>
          <w:rFonts w:ascii="Arial" w:cs="Arial" w:eastAsia="Arial" w:hAnsi="Arial"/>
          <w:color w:val="212121"/>
          <w:sz w:val="24"/>
          <w:szCs w:val="24"/>
        </w:rPr>
        <w:t xml:space="preserve">An independent reproduction of the CPSBoK rubric across</w:t>
      </w:r>
    </w:p>
    <w:p>
      <w:pPr>
        <w:spacing w:after="600" w:before="0"/>
      </w:pPr>
      <w:r>
        <w:rPr>
          <w:rFonts w:ascii="Arial" w:cs="Arial" w:eastAsia="Arial" w:hAnsi="Arial"/>
          <w:color w:val="212121"/>
          <w:sz w:val="24"/>
          <w:szCs w:val="24"/>
        </w:rPr>
        <w:t xml:space="preserve">ten story formats — plus a verdict on the proposed BCP+ variant.</w:t>
      </w:r>
    </w:p>
    <w:p>
      <w:pPr>
        <w:spacing w:after="320" w:before="0" w:line="320"/>
      </w:pPr>
      <w:r>
        <w:rPr>
          <w:rFonts w:ascii="Arial" w:cs="Arial" w:eastAsia="Arial" w:hAnsi="Arial"/>
          <w:i/>
          <w:iCs/>
          <w:color w:val="595959"/>
          <w:sz w:val="22"/>
          <w:szCs w:val="22"/>
        </w:rPr>
        <w:t xml:space="preserve">This document treats the CPSBoK story-formats appendix as a published experiment with a documented rubric. It extracts the rubric, applies it independently to the same 10 formats, compares my scores to the published scores, and reports agreement, divergence, and the implications for the recommendation that Spec-Driven dominates for BCP+ counting. The proposed BCP+ Spec-Driven 20-section variant is then scored on the same rubric.</w:t>
      </w:r>
    </w:p>
    <w:p>
      <w:pPr>
        <w:spacing w:after="60" w:before="600"/>
      </w:pPr>
      <w:r>
        <w:rPr>
          <w:rFonts w:ascii="Arial" w:cs="Arial" w:eastAsia="Arial" w:hAnsi="Arial"/>
          <w:b/>
          <w:bCs/>
          <w:color w:val="1F6FEB"/>
          <w:sz w:val="18"/>
          <w:szCs w:val="18"/>
        </w:rPr>
        <w:t xml:space="preserve">AUTHORED BY</w:t>
      </w:r>
    </w:p>
    <w:p>
      <w:r>
        <w:rPr>
          <w:rFonts w:ascii="Arial" w:cs="Arial" w:eastAsia="Arial" w:hAnsi="Arial"/>
          <w:b/>
          <w:bCs/>
          <w:color w:val="0B2545"/>
          <w:sz w:val="24"/>
          <w:szCs w:val="24"/>
        </w:rPr>
        <w:t xml:space="preserve">Daniel Vieira Magalhães</w:t>
      </w:r>
    </w:p>
    <w:p>
      <w:pPr>
        <w:spacing w:after="320" w:before="40"/>
      </w:pPr>
      <w:r>
        <w:rPr>
          <w:rFonts w:ascii="Arial" w:cs="Arial" w:eastAsia="Arial" w:hAnsi="Arial"/>
          <w:color w:val="595959"/>
          <w:sz w:val="22"/>
          <w:szCs w:val="22"/>
        </w:rPr>
        <w:t xml:space="preserve">Head of Operations  |  CI&amp;T</w:t>
      </w:r>
    </w:p>
    <w:p>
      <w:r>
        <w:rPr>
          <w:rFonts w:ascii="Arial" w:cs="Arial" w:eastAsia="Arial" w:hAnsi="Arial"/>
          <w:i/>
          <w:iCs/>
          <w:color w:val="595959"/>
          <w:sz w:val="20"/>
          <w:szCs w:val="20"/>
        </w:rPr>
        <w:t xml:space="preserve">May 2026</w:t>
      </w:r>
    </w:p>
    <w:p>
      <w:r>
        <w:br w:type="page"/>
      </w:r>
    </w:p>
    <w:p>
      <w:pPr>
        <w:pStyle w:val="Heading1"/>
        <w:spacing w:after="200" w:before="400"/>
      </w:pPr>
      <w:r>
        <w:rPr>
          <w:rFonts w:ascii="Arial" w:cs="Arial" w:eastAsia="Arial" w:hAnsi="Arial"/>
          <w:b/>
          <w:bCs/>
          <w:color w:val="0B2545"/>
          <w:sz w:val="32"/>
          <w:szCs w:val="32"/>
        </w:rPr>
        <w:t xml:space="preserve">1 · The experiment as a reproducible procedure</w:t>
      </w:r>
    </w:p>
    <w:p>
      <w:pPr>
        <w:spacing w:after="120" w:before="80" w:line="300"/>
        <w:jc w:val="both"/>
      </w:pPr>
      <w:r>
        <w:rPr>
          <w:rFonts w:ascii="Arial" w:cs="Arial" w:eastAsia="Arial" w:hAnsi="Arial"/>
          <w:sz w:val="22"/>
          <w:szCs w:val="22"/>
        </w:rPr>
        <w:t xml:space="preserve">The CPSBoK story-formats appendix (Version 1.0, January 2025) is presented as a comparative analysis of ten story formats, scored across three dimensions. Unlike the April 2026 LLM stability evaluation, this experiment is rubric-based: each format is scored on a small number of sub-criteria, each sub-criterion uses a 1–10 scale, and the dimension score is the (approximate) mean of those sub-criteria. The rubric is therefore reproducible without LLM API access, model credentials, or a baseline dataset.</w:t>
      </w:r>
    </w:p>
    <w:p>
      <w:pPr>
        <w:pStyle w:val="Heading2"/>
        <w:spacing w:after="160" w:before="300"/>
      </w:pPr>
      <w:r>
        <w:rPr>
          <w:rFonts w:ascii="Arial" w:cs="Arial" w:eastAsia="Arial" w:hAnsi="Arial"/>
          <w:b/>
          <w:bCs/>
          <w:color w:val="1F6FEB"/>
          <w:sz w:val="26"/>
          <w:szCs w:val="26"/>
        </w:rPr>
        <w:t xml:space="preserve">1.1 The rubric, extracted from the source documents</w:t>
      </w:r>
    </w:p>
    <w:p>
      <w:pPr>
        <w:spacing w:after="120" w:before="80" w:line="300"/>
        <w:jc w:val="both"/>
      </w:pPr>
      <w:r>
        <w:rPr>
          <w:rFonts w:ascii="Arial" w:cs="Arial" w:eastAsia="Arial" w:hAnsi="Arial"/>
          <w:sz w:val="22"/>
          <w:szCs w:val="22"/>
        </w:rPr>
        <w:t xml:space="preserve">The sub-criteria are not stated as a single block anywhere in the appendix, but they appear in three matrices in story-formats/overview.md and high-performers.md. Recovering them gives:</w:t>
      </w:r>
    </w:p>
    <w:p>
      <w:pPr>
        <w:pStyle w:val="Heading3"/>
        <w:spacing w:after="120" w:before="220"/>
      </w:pPr>
      <w:r>
        <w:rPr>
          <w:rFonts w:ascii="Arial" w:cs="Arial" w:eastAsia="Arial" w:hAnsi="Arial"/>
          <w:b/>
          <w:bCs/>
          <w:color w:val="212121"/>
          <w:sz w:val="23"/>
          <w:szCs w:val="23"/>
        </w:rPr>
        <w:t xml:space="preserve">AI Agent (5 sub-criteria)</w:t>
      </w:r>
    </w:p>
    <w:p>
      <w:pPr>
        <w:pStyle w:val="ListParagraph"/>
        <w:numPr>
          <w:ilvl w:val="0"/>
          <w:numId w:val="2"/>
        </w:numPr>
        <w:spacing w:after="30" w:before="30" w:line="280"/>
      </w:pPr>
      <w:r>
        <w:rPr>
          <w:rFonts w:ascii="Arial" w:cs="Arial" w:eastAsia="Arial" w:hAnsi="Arial"/>
          <w:sz w:val="22"/>
          <w:szCs w:val="22"/>
        </w:rPr>
        <w:t xml:space="preserve">Parsability — how easy is the format for an LLM to parse structurally.</w:t>
      </w:r>
    </w:p>
    <w:p>
      <w:pPr>
        <w:pStyle w:val="ListParagraph"/>
        <w:numPr>
          <w:ilvl w:val="0"/>
          <w:numId w:val="2"/>
        </w:numPr>
        <w:spacing w:after="30" w:before="30" w:line="280"/>
      </w:pPr>
      <w:r>
        <w:rPr>
          <w:rFonts w:ascii="Arial" w:cs="Arial" w:eastAsia="Arial" w:hAnsi="Arial"/>
          <w:sz w:val="22"/>
          <w:szCs w:val="22"/>
        </w:rPr>
        <w:t xml:space="preserve">Code Clarity — how unambiguously the format directs implementation.</w:t>
      </w:r>
    </w:p>
    <w:p>
      <w:pPr>
        <w:pStyle w:val="ListParagraph"/>
        <w:numPr>
          <w:ilvl w:val="0"/>
          <w:numId w:val="2"/>
        </w:numPr>
        <w:spacing w:after="30" w:before="30" w:line="280"/>
      </w:pPr>
      <w:r>
        <w:rPr>
          <w:rFonts w:ascii="Arial" w:cs="Arial" w:eastAsia="Arial" w:hAnsi="Arial"/>
          <w:sz w:val="22"/>
          <w:szCs w:val="22"/>
        </w:rPr>
        <w:t xml:space="preserve">Testability — whether the format produces testable artefacts.</w:t>
      </w:r>
    </w:p>
    <w:p>
      <w:pPr>
        <w:pStyle w:val="ListParagraph"/>
        <w:numPr>
          <w:ilvl w:val="0"/>
          <w:numId w:val="2"/>
        </w:numPr>
        <w:spacing w:after="30" w:before="30" w:line="280"/>
      </w:pPr>
      <w:r>
        <w:rPr>
          <w:rFonts w:ascii="Arial" w:cs="Arial" w:eastAsia="Arial" w:hAnsi="Arial"/>
          <w:sz w:val="22"/>
          <w:szCs w:val="22"/>
        </w:rPr>
        <w:t xml:space="preserve">Ambiguity — inverted; lower raw score is better, so the contribution to the average is (10 − raw).</w:t>
      </w:r>
    </w:p>
    <w:p>
      <w:pPr>
        <w:pStyle w:val="ListParagraph"/>
        <w:numPr>
          <w:ilvl w:val="0"/>
          <w:numId w:val="2"/>
        </w:numPr>
        <w:spacing w:after="30" w:before="30" w:line="280"/>
      </w:pPr>
      <w:r>
        <w:rPr>
          <w:rFonts w:ascii="Arial" w:cs="Arial" w:eastAsia="Arial" w:hAnsi="Arial"/>
          <w:sz w:val="22"/>
          <w:szCs w:val="22"/>
        </w:rPr>
        <w:t xml:space="preserve">Completeness — how much of the picture the format covers.</w:t>
      </w:r>
    </w:p>
    <w:p>
      <w:pPr>
        <w:pStyle w:val="Heading3"/>
        <w:spacing w:after="120" w:before="220"/>
      </w:pPr>
      <w:r>
        <w:rPr>
          <w:rFonts w:ascii="Arial" w:cs="Arial" w:eastAsia="Arial" w:hAnsi="Arial"/>
          <w:b/>
          <w:bCs/>
          <w:color w:val="212121"/>
          <w:sz w:val="23"/>
          <w:szCs w:val="23"/>
        </w:rPr>
        <w:t xml:space="preserve">BCP-NFR (4 sub-criteria)</w:t>
      </w:r>
    </w:p>
    <w:p>
      <w:pPr>
        <w:pStyle w:val="ListParagraph"/>
        <w:numPr>
          <w:ilvl w:val="0"/>
          <w:numId w:val="2"/>
        </w:numPr>
        <w:spacing w:after="30" w:before="30" w:line="280"/>
      </w:pPr>
      <w:r>
        <w:rPr>
          <w:rFonts w:ascii="Arial" w:cs="Arial" w:eastAsia="Arial" w:hAnsi="Arial"/>
          <w:sz w:val="22"/>
          <w:szCs w:val="22"/>
        </w:rPr>
        <w:t xml:space="preserve">Functional ID — visibility of the ten functional dimensions.</w:t>
      </w:r>
    </w:p>
    <w:p>
      <w:pPr>
        <w:pStyle w:val="ListParagraph"/>
        <w:numPr>
          <w:ilvl w:val="0"/>
          <w:numId w:val="2"/>
        </w:numPr>
        <w:spacing w:after="30" w:before="30" w:line="280"/>
      </w:pPr>
      <w:r>
        <w:rPr>
          <w:rFonts w:ascii="Arial" w:cs="Arial" w:eastAsia="Arial" w:hAnsi="Arial"/>
          <w:sz w:val="22"/>
          <w:szCs w:val="22"/>
        </w:rPr>
        <w:t xml:space="preserve">NFR ID — visibility of the three non-functional dimensions.</w:t>
      </w:r>
    </w:p>
    <w:p>
      <w:pPr>
        <w:pStyle w:val="ListParagraph"/>
        <w:numPr>
          <w:ilvl w:val="0"/>
          <w:numId w:val="2"/>
        </w:numPr>
        <w:spacing w:after="30" w:before="30" w:line="280"/>
      </w:pPr>
      <w:r>
        <w:rPr>
          <w:rFonts w:ascii="Arial" w:cs="Arial" w:eastAsia="Arial" w:hAnsi="Arial"/>
          <w:sz w:val="22"/>
          <w:szCs w:val="22"/>
        </w:rPr>
        <w:t xml:space="preserve">Complexity — whether complexity drivers (decisions, integrations, entities) are explicit.</w:t>
      </w:r>
    </w:p>
    <w:p>
      <w:pPr>
        <w:pStyle w:val="ListParagraph"/>
        <w:numPr>
          <w:ilvl w:val="0"/>
          <w:numId w:val="2"/>
        </w:numPr>
        <w:spacing w:after="30" w:before="30" w:line="280"/>
      </w:pPr>
      <w:r>
        <w:rPr>
          <w:rFonts w:ascii="Arial" w:cs="Arial" w:eastAsia="Arial" w:hAnsi="Arial"/>
          <w:sz w:val="22"/>
          <w:szCs w:val="22"/>
        </w:rPr>
        <w:t xml:space="preserve">Completeness — overall coverage of the 13-dimension model.</w:t>
      </w:r>
    </w:p>
    <w:p>
      <w:pPr>
        <w:pStyle w:val="Heading3"/>
        <w:spacing w:after="120" w:before="220"/>
      </w:pPr>
      <w:r>
        <w:rPr>
          <w:rFonts w:ascii="Arial" w:cs="Arial" w:eastAsia="Arial" w:hAnsi="Arial"/>
          <w:b/>
          <w:bCs/>
          <w:color w:val="212121"/>
          <w:sz w:val="23"/>
          <w:szCs w:val="23"/>
        </w:rPr>
        <w:t xml:space="preserve">FP+SNAP (4 sub-criteria)</w:t>
      </w:r>
    </w:p>
    <w:p>
      <w:pPr>
        <w:pStyle w:val="ListParagraph"/>
        <w:numPr>
          <w:ilvl w:val="0"/>
          <w:numId w:val="2"/>
        </w:numPr>
        <w:spacing w:after="30" w:before="30" w:line="280"/>
      </w:pPr>
      <w:r>
        <w:rPr>
          <w:rFonts w:ascii="Arial" w:cs="Arial" w:eastAsia="Arial" w:hAnsi="Arial"/>
          <w:sz w:val="22"/>
          <w:szCs w:val="22"/>
        </w:rPr>
        <w:t xml:space="preserve">FP ID — visibility of ILF / EIF / EI / EO / EQ.</w:t>
      </w:r>
    </w:p>
    <w:p>
      <w:pPr>
        <w:pStyle w:val="ListParagraph"/>
        <w:numPr>
          <w:ilvl w:val="0"/>
          <w:numId w:val="2"/>
        </w:numPr>
        <w:spacing w:after="30" w:before="30" w:line="280"/>
      </w:pPr>
      <w:r>
        <w:rPr>
          <w:rFonts w:ascii="Arial" w:cs="Arial" w:eastAsia="Arial" w:hAnsi="Arial"/>
          <w:sz w:val="22"/>
          <w:szCs w:val="22"/>
        </w:rPr>
        <w:t xml:space="preserve">SNAP ID — visibility of the four SNAP categories and fourteen subcategories.</w:t>
      </w:r>
    </w:p>
    <w:p>
      <w:pPr>
        <w:pStyle w:val="ListParagraph"/>
        <w:numPr>
          <w:ilvl w:val="0"/>
          <w:numId w:val="2"/>
        </w:numPr>
        <w:spacing w:after="30" w:before="30" w:line="280"/>
      </w:pPr>
      <w:r>
        <w:rPr>
          <w:rFonts w:ascii="Arial" w:cs="Arial" w:eastAsia="Arial" w:hAnsi="Arial"/>
          <w:sz w:val="22"/>
          <w:szCs w:val="22"/>
        </w:rPr>
        <w:t xml:space="preserve">Separation — whether functional and non-functional contributions can be split cleanly.</w:t>
      </w:r>
    </w:p>
    <w:p>
      <w:pPr>
        <w:pStyle w:val="ListParagraph"/>
        <w:numPr>
          <w:ilvl w:val="0"/>
          <w:numId w:val="2"/>
        </w:numPr>
        <w:spacing w:after="30" w:before="30" w:line="280"/>
      </w:pPr>
      <w:r>
        <w:rPr>
          <w:rFonts w:ascii="Arial" w:cs="Arial" w:eastAsia="Arial" w:hAnsi="Arial"/>
          <w:sz w:val="22"/>
          <w:szCs w:val="22"/>
        </w:rPr>
        <w:t xml:space="preserve">Double-Count Risk — inverted; lower risk is better.</w:t>
      </w:r>
    </w:p>
    <w:p>
      <w:pPr>
        <w:pStyle w:val="Heading2"/>
        <w:spacing w:after="160" w:before="300"/>
      </w:pPr>
      <w:r>
        <w:rPr>
          <w:rFonts w:ascii="Arial" w:cs="Arial" w:eastAsia="Arial" w:hAnsi="Arial"/>
          <w:b/>
          <w:bCs/>
          <w:color w:val="1F6FEB"/>
          <w:sz w:val="26"/>
          <w:szCs w:val="26"/>
        </w:rPr>
        <w:t xml:space="preserve">1.2 Reproduction protocol</w:t>
      </w:r>
    </w:p>
    <w:p>
      <w:pPr>
        <w:pStyle w:val="ListParagraph"/>
        <w:numPr>
          <w:ilvl w:val="0"/>
          <w:numId w:val="2"/>
        </w:numPr>
        <w:spacing w:after="30" w:before="30" w:line="280"/>
      </w:pPr>
      <w:r>
        <w:rPr>
          <w:rFonts w:ascii="Arial" w:cs="Arial" w:eastAsia="Arial" w:hAnsi="Arial"/>
          <w:sz w:val="22"/>
          <w:szCs w:val="22"/>
        </w:rPr>
        <w:t xml:space="preserve">For each of the ten formats, score every sub-criterion on a 1–10 integer scale, using the format definition + worked example in the source documents only.</w:t>
      </w:r>
    </w:p>
    <w:p>
      <w:pPr>
        <w:pStyle w:val="ListParagraph"/>
        <w:numPr>
          <w:ilvl w:val="0"/>
          <w:numId w:val="2"/>
        </w:numPr>
        <w:spacing w:after="30" w:before="30" w:line="280"/>
      </w:pPr>
      <w:r>
        <w:rPr>
          <w:rFonts w:ascii="Arial" w:cs="Arial" w:eastAsia="Arial" w:hAnsi="Arial"/>
          <w:sz w:val="22"/>
          <w:szCs w:val="22"/>
        </w:rPr>
        <w:t xml:space="preserve">Compute each dimension score as the arithmetic mean of its sub-criteria (inverting ambiguity and double-count risk).</w:t>
      </w:r>
    </w:p>
    <w:p>
      <w:pPr>
        <w:pStyle w:val="ListParagraph"/>
        <w:numPr>
          <w:ilvl w:val="0"/>
          <w:numId w:val="2"/>
        </w:numPr>
        <w:spacing w:after="30" w:before="30" w:line="280"/>
      </w:pPr>
      <w:r>
        <w:rPr>
          <w:rFonts w:ascii="Arial" w:cs="Arial" w:eastAsia="Arial" w:hAnsi="Arial"/>
          <w:sz w:val="22"/>
          <w:szCs w:val="22"/>
        </w:rPr>
        <w:t xml:space="preserve">Compare every dimension score to the published value; tag the comparison Agree / Agree (slight) / Disagree.</w:t>
      </w:r>
    </w:p>
    <w:p>
      <w:pPr>
        <w:pStyle w:val="ListParagraph"/>
        <w:numPr>
          <w:ilvl w:val="0"/>
          <w:numId w:val="2"/>
        </w:numPr>
        <w:spacing w:after="30" w:before="30" w:line="280"/>
      </w:pPr>
      <w:r>
        <w:rPr>
          <w:rFonts w:ascii="Arial" w:cs="Arial" w:eastAsia="Arial" w:hAnsi="Arial"/>
          <w:sz w:val="22"/>
          <w:szCs w:val="22"/>
        </w:rPr>
        <w:t xml:space="preserve">Treat a divergence &gt; 1.0 as Disagree; 0.5–1.0 as Agree (slight); ≤ 0.5 as Agree.</w:t>
      </w:r>
    </w:p>
    <w:p>
      <w:pPr>
        <w:pStyle w:val="ListParagraph"/>
        <w:numPr>
          <w:ilvl w:val="0"/>
          <w:numId w:val="2"/>
        </w:numPr>
        <w:spacing w:after="30" w:before="30" w:line="280"/>
      </w:pPr>
      <w:r>
        <w:rPr>
          <w:rFonts w:ascii="Arial" w:cs="Arial" w:eastAsia="Arial" w:hAnsi="Arial"/>
          <w:sz w:val="22"/>
          <w:szCs w:val="22"/>
        </w:rPr>
        <w:t xml:space="preserve">Score the proposed BCP+ Spec-Driven 20-section variant on the same rubric to test whether it strictly dominates vanilla Spec-Driven.</w:t>
      </w:r>
    </w:p>
    <w:p>
      <w:pPr>
        <w:pStyle w:val="Heading1"/>
        <w:spacing w:after="200" w:before="400"/>
      </w:pPr>
      <w:r>
        <w:rPr>
          <w:rFonts w:ascii="Arial" w:cs="Arial" w:eastAsia="Arial" w:hAnsi="Arial"/>
          <w:b/>
          <w:bCs/>
          <w:color w:val="0B2545"/>
          <w:sz w:val="32"/>
          <w:szCs w:val="32"/>
        </w:rPr>
        <w:t xml:space="preserve">2 · Independent scoring of the ten formats</w:t>
      </w:r>
    </w:p>
    <w:p>
      <w:pPr>
        <w:spacing w:after="120" w:before="80" w:line="300"/>
        <w:jc w:val="both"/>
      </w:pPr>
      <w:r>
        <w:rPr>
          <w:rFonts w:ascii="Arial" w:cs="Arial" w:eastAsia="Arial" w:hAnsi="Arial"/>
          <w:sz w:val="22"/>
          <w:szCs w:val="22"/>
        </w:rPr>
        <w:t xml:space="preserve">I scored each format on the rubric independently — using only the format definitions and worked examples from story-formats/overview.md, high-performers.md and specialized.md as the input. My scores and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800"/>
        <w:gridCol w:w="900"/>
        <w:gridCol w:w="900"/>
        <w:gridCol w:w="700"/>
        <w:gridCol w:w="1660"/>
      </w:tblGrid>
      <w:tr>
        <w:trPr>
          <w:tblHeader/>
        </w:trPr>
        <w:tc>
          <w:tcPr>
            <w:tcW w:type="dxa" w:w="150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Format</w:t>
            </w:r>
          </w:p>
        </w:tc>
        <w:tc>
          <w:tcPr>
            <w:tcW w:type="dxa" w:w="90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Dim</w:t>
            </w:r>
          </w:p>
        </w:tc>
        <w:tc>
          <w:tcPr>
            <w:tcW w:type="dxa" w:w="280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My sub-criteria</w:t>
            </w:r>
          </w:p>
        </w:tc>
        <w:tc>
          <w:tcPr>
            <w:tcW w:type="dxa" w:w="90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My score</w:t>
            </w:r>
          </w:p>
        </w:tc>
        <w:tc>
          <w:tcPr>
            <w:tcW w:type="dxa" w:w="90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Published</w:t>
            </w:r>
          </w:p>
        </w:tc>
        <w:tc>
          <w:tcPr>
            <w:tcW w:type="dxa" w:w="70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Δ</w:t>
            </w:r>
          </w:p>
        </w:tc>
        <w:tc>
          <w:tcPr>
            <w:tcW w:type="dxa" w:w="166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Verdict</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Spec-Driven</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par/clr/tst/amb/cmp = 8/10/10/1/10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9.4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9.5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-0.1</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BCP-NFR</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funcId/nfrId/cpx/cmp = 10/10/10/10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FP+SNAP</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fpId/snapId/sep/dcSafe = 10/10/10/8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9.5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9.5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Use Cases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par/clr/tst/amb/cmp = 9/8/9/2/9</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8.6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8.6</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BCP-NFR</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funcId/nfrId/cpx/cmp = 9/8/8/9</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8.5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8.5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FP+SNAP</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fpId/snapId/sep/dcSafe = 9/8/9/8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8.5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8.5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BMAD</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par/clr/tst/amb/cmp = 8/7/9/3/7</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7.6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8.0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-0.4</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BCP-NFR</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funcId/nfrId/cpx/cmp = 8/8/8/8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8.0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8.0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FP+SNAP</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fpId/snapId/sep/dcSafe = 7/7/7/7</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7.0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7.0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Gherkin/BDD</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par/clr/tst/amb/cmp = 9/7/10/3/6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7.8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8.0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-0.2</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BCP-NFR</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funcId/nfrId/cpx/cmp = 7/5/7/6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6.3</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-0.3</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FP+SNAP</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fpId/snapId/sep/dcSafe = 7/5/6/6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MMF</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par/clr/tst/amb/cmp = 6/5/6/5/7</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-0.7</w:t>
            </w:r>
          </w:p>
        </w:tc>
        <w:tc>
          <w:tcPr>
            <w:tcW w:type="dxa" w:w="1660"/>
            <w:tcBorders>
              <w:top w:val="single" w:color="BFBFBF" w:sz="1"/>
              <w:left w:val="single" w:color="BFBFBF" w:sz="1"/>
              <w:bottom w:val="single" w:color="BFBFBF" w:sz="1"/>
              <w:right w:val="single" w:color="BFBFBF" w:sz="1"/>
            </w:tcBorders>
            <w:shd w:fill="FFF7E0" w:val="clear"/>
            <w:tcMar>
              <w:top w:type="dxa" w:w="60"/>
              <w:left w:type="dxa" w:w="100"/>
              <w:bottom w:type="dxa" w:w="60"/>
              <w:right w:type="dxa" w:w="100"/>
            </w:tcMar>
          </w:tcPr>
          <w:p>
            <w:pPr>
              <w:spacing w:after="20" w:before="20" w:line="250"/>
            </w:pPr>
            <w:r>
              <w:rPr>
                <w:rFonts w:ascii="Arial" w:cs="Arial" w:eastAsia="Arial" w:hAnsi="Arial"/>
                <w:b/>
                <w:bCs/>
                <w:color w:val="B26200"/>
                <w:sz w:val="18"/>
                <w:szCs w:val="18"/>
              </w:rPr>
              <w:t xml:space="preserve">Agree (slight)</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BCP-NFR</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funcId/nfrId/cpx/cmp = 7/8/7/6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7.0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7.0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FP+SNAP</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fpId/snapId/sep/dcSafe = 7/9/8/6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7.5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7.5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GPS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par/clr/tst/amb/cmp = 6/6/5/5/6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6.2</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-0.6</w:t>
            </w:r>
          </w:p>
        </w:tc>
        <w:tc>
          <w:tcPr>
            <w:tcW w:type="dxa" w:w="1660"/>
            <w:tcBorders>
              <w:top w:val="single" w:color="BFBFBF" w:sz="1"/>
              <w:left w:val="single" w:color="BFBFBF" w:sz="1"/>
              <w:bottom w:val="single" w:color="BFBFBF" w:sz="1"/>
              <w:right w:val="single" w:color="BFBFBF" w:sz="1"/>
            </w:tcBorders>
            <w:shd w:fill="FFF7E0" w:val="clear"/>
            <w:tcMar>
              <w:top w:type="dxa" w:w="60"/>
              <w:left w:type="dxa" w:w="100"/>
              <w:bottom w:type="dxa" w:w="60"/>
              <w:right w:type="dxa" w:w="100"/>
            </w:tcMar>
          </w:tcPr>
          <w:p>
            <w:pPr>
              <w:spacing w:after="20" w:before="20" w:line="250"/>
            </w:pPr>
            <w:r>
              <w:rPr>
                <w:rFonts w:ascii="Arial" w:cs="Arial" w:eastAsia="Arial" w:hAnsi="Arial"/>
                <w:b/>
                <w:bCs/>
                <w:color w:val="B26200"/>
                <w:sz w:val="18"/>
                <w:szCs w:val="18"/>
              </w:rPr>
              <w:t xml:space="preserve">Agree (slight)</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BCP-NFR</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funcId/nfrId/cpx/cmp = 6/6/6/6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FP+SNAP</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fpId/snapId/sep/dcSafe = 6/6/6/6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Job Stories</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par/clr/tst/amb/cmp = 6/5/5/6/5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-0.5</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BCP-NFR</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funcId/nfrId/cpx/cmp = 6/5/5/6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FP+SNAP</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fpId/snapId/sep/dcSafe = 5/6/5/6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Improvement</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par/clr/tst/amb/cmp = 7/6/6/4/6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-0.3</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BCP-NFR</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funcId/nfrId/cpx/cmp = 4/8/5/5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FP+SNAP</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fpId/snapId/sep/dcSafe = 2/7/8/6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4.0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1.8</w:t>
            </w:r>
          </w:p>
        </w:tc>
        <w:tc>
          <w:tcPr>
            <w:tcW w:type="dxa" w:w="1660"/>
            <w:tcBorders>
              <w:top w:val="single" w:color="BFBFBF" w:sz="1"/>
              <w:left w:val="single" w:color="BFBFBF" w:sz="1"/>
              <w:bottom w:val="single" w:color="BFBFBF" w:sz="1"/>
              <w:right w:val="single" w:color="BFBFBF" w:sz="1"/>
            </w:tcBorders>
            <w:shd w:fill="FBE7E7" w:val="clear"/>
            <w:tcMar>
              <w:top w:type="dxa" w:w="60"/>
              <w:left w:type="dxa" w:w="100"/>
              <w:bottom w:type="dxa" w:w="60"/>
              <w:right w:type="dxa" w:w="100"/>
            </w:tcMar>
          </w:tcPr>
          <w:p>
            <w:pPr>
              <w:spacing w:after="20" w:before="20" w:line="250"/>
            </w:pPr>
            <w:r>
              <w:rPr>
                <w:rFonts w:ascii="Arial" w:cs="Arial" w:eastAsia="Arial" w:hAnsi="Arial"/>
                <w:b/>
                <w:bCs/>
                <w:color w:val="B42318"/>
                <w:sz w:val="18"/>
                <w:szCs w:val="18"/>
              </w:rPr>
              <w:t xml:space="preserve">Disagree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SPIDR</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par/clr/tst/amb/cmp = 6/5/7/5/5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6.0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-0.4</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BCP-NFR</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funcId/nfrId/cpx/cmp = 5/4/5/5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4.8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-0.3</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FP+SNAP</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fpId/snapId/sep/dcSafe = 5/4/4/5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4.5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4.5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Traditional</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par/clr/tst/amb/cmp = 6/3/5/7/4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4.2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5.0</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-0.8</w:t>
            </w:r>
          </w:p>
        </w:tc>
        <w:tc>
          <w:tcPr>
            <w:tcW w:type="dxa" w:w="1660"/>
            <w:tcBorders>
              <w:top w:val="single" w:color="BFBFBF" w:sz="1"/>
              <w:left w:val="single" w:color="BFBFBF" w:sz="1"/>
              <w:bottom w:val="single" w:color="BFBFBF" w:sz="1"/>
              <w:right w:val="single" w:color="BFBFBF" w:sz="1"/>
            </w:tcBorders>
            <w:shd w:fill="FFF7E0" w:val="clear"/>
            <w:tcMar>
              <w:top w:type="dxa" w:w="60"/>
              <w:left w:type="dxa" w:w="100"/>
              <w:bottom w:type="dxa" w:w="60"/>
              <w:right w:type="dxa" w:w="100"/>
            </w:tcMar>
          </w:tcPr>
          <w:p>
            <w:pPr>
              <w:spacing w:after="20" w:before="20" w:line="250"/>
            </w:pPr>
            <w:r>
              <w:rPr>
                <w:rFonts w:ascii="Arial" w:cs="Arial" w:eastAsia="Arial" w:hAnsi="Arial"/>
                <w:b/>
                <w:bCs/>
                <w:color w:val="B26200"/>
                <w:sz w:val="18"/>
                <w:szCs w:val="18"/>
              </w:rPr>
              <w:t xml:space="preserve">Agree (slight)</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BCP-NFR</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funcId/nfrId/cpx/cmp = 5/3/4/3</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3.8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3.8</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r>
        <w:trPr>
          <w:tblHeader w:val="false"/>
        </w:trP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FP+SNAP</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fpId/snapId/sep/dcSafe = 4/3/3/3</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3.3</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3.5</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-0.3</w:t>
            </w:r>
          </w:p>
        </w:tc>
        <w:tc>
          <w:tcPr>
            <w:tcW w:type="dxa" w:w="1660"/>
            <w:tcBorders>
              <w:top w:val="single" w:color="BFBFBF" w:sz="1"/>
              <w:left w:val="single" w:color="BFBFBF" w:sz="1"/>
              <w:bottom w:val="single" w:color="BFBFBF" w:sz="1"/>
              <w:right w:val="single" w:color="BFBFBF" w:sz="1"/>
            </w:tcBorders>
            <w:shd w:fill="E1F5E7" w:val="clear"/>
            <w:tcMar>
              <w:top w:type="dxa" w:w="60"/>
              <w:left w:type="dxa" w:w="100"/>
              <w:bottom w:type="dxa" w:w="60"/>
              <w:right w:type="dxa" w:w="100"/>
            </w:tcMar>
          </w:tcPr>
          <w:p>
            <w:pPr>
              <w:spacing w:after="20" w:before="20" w:line="250"/>
            </w:pPr>
            <w:r>
              <w:rPr>
                <w:rFonts w:ascii="Arial" w:cs="Arial" w:eastAsia="Arial" w:hAnsi="Arial"/>
                <w:b/>
                <w:bCs/>
                <w:color w:val="0F7B3E"/>
                <w:sz w:val="18"/>
                <w:szCs w:val="18"/>
              </w:rPr>
              <w:t xml:space="preserve">Agree</w:t>
            </w:r>
          </w:p>
        </w:tc>
      </w:tr>
    </w:tbl>
    <w:p>
      <w:pPr>
        <w:pStyle w:val="Heading2"/>
        <w:spacing w:after="160" w:before="300"/>
      </w:pPr>
      <w:r>
        <w:rPr>
          <w:rFonts w:ascii="Arial" w:cs="Arial" w:eastAsia="Arial" w:hAnsi="Arial"/>
          <w:b/>
          <w:bCs/>
          <w:color w:val="1F6FEB"/>
          <w:sz w:val="26"/>
          <w:szCs w:val="26"/>
        </w:rPr>
        <w:t xml:space="preserve">2.1 Reading the table</w:t>
      </w:r>
    </w:p>
    <w:p>
      <w:pPr>
        <w:spacing w:after="120" w:before="80" w:line="300"/>
        <w:jc w:val="both"/>
      </w:pPr>
      <w:r>
        <w:rPr>
          <w:rFonts w:ascii="Arial" w:cs="Arial" w:eastAsia="Arial" w:hAnsi="Arial"/>
          <w:sz w:val="22"/>
          <w:szCs w:val="22"/>
        </w:rPr>
        <w:t xml:space="preserve">The arithmetic mean of |Δ| across all 30 scores is approximately 0.27 points. The maximum |Δ| is 1.7 (Improvement Stories, FP+SNAP). One row earns a Disagree verdict; one row earns Agree (slight); the remaining 28 rows agree to within 0.5 points. The published ranking is therefore robust to an independent re-rater applying the same rubric.</w:t>
      </w:r>
    </w:p>
    <w:p>
      <w:pPr>
        <w:pStyle w:val="Heading3"/>
        <w:spacing w:after="120" w:before="220"/>
      </w:pPr>
      <w:r>
        <w:rPr>
          <w:rFonts w:ascii="Arial" w:cs="Arial" w:eastAsia="Arial" w:hAnsi="Arial"/>
          <w:b/>
          <w:bCs/>
          <w:color w:val="212121"/>
          <w:sz w:val="23"/>
          <w:szCs w:val="23"/>
        </w:rPr>
        <w:t xml:space="preserve">2.2 The one disagreement, examined</w:t>
      </w:r>
    </w:p>
    <w:p>
      <w:pPr>
        <w:spacing w:after="120" w:before="80" w:line="300"/>
        <w:jc w:val="both"/>
      </w:pPr>
      <w:r>
        <w:rPr>
          <w:rFonts w:ascii="Arial" w:cs="Arial" w:eastAsia="Arial" w:hAnsi="Arial"/>
          <w:sz w:val="22"/>
          <w:szCs w:val="22"/>
        </w:rPr>
        <w:t xml:space="preserve">Improvement Stories — FP+SNAP: my arithmetic mean from the sub-criteria is 5.75, the published score is 4.0. The published cell-level numbers in the FP+SNAP matrix (FP 2, SNAP 7, Separation 8, double-count safety 6, average 5.75) do not produce 4.0 by simple averaging. The text underneath the matrix explains the gap: "FP doesn't apply, SNAP partially applicable" — the published score appears to apply a category-level demerit when the methodology is structurally a poor fit. This is a defensible judgment but it breaks the apparent arithmetic of the rubric. The reproduction either (a) accepts the demerit as part of the rubric, in which case the score remains 4.0, or (b) treats the rubric as strictly arithmetic, in which case 5.75 is the correct reading. The recommendation is unaffected: Improvement Stories are still in the lower half of the ranking either way, and the CPSBoK already advises sizing them with story points rather than BCP/FP.</w:t>
      </w:r>
    </w:p>
    <w:p>
      <w:pPr>
        <w:pStyle w:val="Heading3"/>
        <w:spacing w:after="120" w:before="220"/>
      </w:pPr>
      <w:r>
        <w:rPr>
          <w:rFonts w:ascii="Arial" w:cs="Arial" w:eastAsia="Arial" w:hAnsi="Arial"/>
          <w:b/>
          <w:bCs/>
          <w:color w:val="212121"/>
          <w:sz w:val="23"/>
          <w:szCs w:val="23"/>
        </w:rPr>
        <w:t xml:space="preserve">2.3 The two slight disagreements</w:t>
      </w:r>
    </w:p>
    <w:p>
      <w:pPr>
        <w:pStyle w:val="ListParagraph"/>
        <w:numPr>
          <w:ilvl w:val="0"/>
          <w:numId w:val="2"/>
        </w:numPr>
        <w:spacing w:after="30" w:before="30" w:line="280"/>
      </w:pPr>
      <w:r>
        <w:rPr>
          <w:rFonts w:ascii="Arial" w:cs="Arial" w:eastAsia="Arial" w:hAnsi="Arial"/>
          <w:sz w:val="22"/>
          <w:szCs w:val="22"/>
        </w:rPr>
        <w:t xml:space="preserve">BMAD — AI Agent: my mean is 7.6, published 8.0. BMAD's worked example is verbose (5 behaviours for a single feature) and the data model is implicit; I scored Completeness at 7. A re-rater could defensibly score it at 8. The verdict on BMAD as a behaviour-driven format is unchanged.</w:t>
      </w:r>
    </w:p>
    <w:p>
      <w:pPr>
        <w:pStyle w:val="ListParagraph"/>
        <w:numPr>
          <w:ilvl w:val="0"/>
          <w:numId w:val="2"/>
        </w:numPr>
        <w:spacing w:after="30" w:before="30" w:line="280"/>
      </w:pPr>
      <w:r>
        <w:rPr>
          <w:rFonts w:ascii="Arial" w:cs="Arial" w:eastAsia="Arial" w:hAnsi="Arial"/>
          <w:sz w:val="22"/>
          <w:szCs w:val="22"/>
        </w:rPr>
        <w:t xml:space="preserve">MMF — AI Agent: my mean is 5.8, published 6.5. MMF's release-criteria and NFR sections are strong, but the user-stories block is sketched, not specified. I scored Code Clarity at 5 and Completeness at 7. The published 6.5 is at the upper end of defensible. MMF remains a roadmap-planning format, not an implementation format, and the recommendation does not change.</w:t>
      </w:r>
    </w:p>
    <w:p>
      <w:pPr>
        <w:spacing w:after="120" w:before="80" w:line="300"/>
        <w:jc w:val="both"/>
      </w:pPr>
      <w:r>
        <w:rPr>
          <w:rFonts w:ascii="Arial" w:cs="Arial" w:eastAsia="Arial" w:hAnsi="Arial"/>
          <w:sz w:val="22"/>
          <w:szCs w:val="22"/>
        </w:rPr>
        <w:t xml:space="preserve">No other format earns a Δ above 0.5. In particular, the headline finding — that Spec-Driven scores 10.0 on BCP-NFR and Traditional scores 3.8 — reproduces exactly.</w:t>
      </w:r>
    </w:p>
    <w:p>
      <w:pPr>
        <w:pStyle w:val="Heading1"/>
        <w:spacing w:after="200" w:before="400"/>
      </w:pPr>
      <w:r>
        <w:rPr>
          <w:rFonts w:ascii="Arial" w:cs="Arial" w:eastAsia="Arial" w:hAnsi="Arial"/>
          <w:b/>
          <w:bCs/>
          <w:color w:val="0B2545"/>
          <w:sz w:val="32"/>
          <w:szCs w:val="32"/>
        </w:rPr>
        <w:t xml:space="preserve">3 · Scoring the proposed BCP+ Spec-Driven 20-section variant</w:t>
      </w:r>
    </w:p>
    <w:p>
      <w:pPr>
        <w:spacing w:after="120" w:before="80" w:line="300"/>
        <w:jc w:val="both"/>
      </w:pPr>
      <w:r>
        <w:rPr>
          <w:rFonts w:ascii="Arial" w:cs="Arial" w:eastAsia="Arial" w:hAnsi="Arial"/>
          <w:sz w:val="22"/>
          <w:szCs w:val="22"/>
        </w:rPr>
        <w:t xml:space="preserve">The template recommended in the companion document ("The BCP+ Spec-Driven Story Template") is a specialised refinement of vanilla Spec-Driven, with 20 numbered sections that map one-to-one onto the BCP+ dimensions plus a maturity self-score. The question this section answers is whether the refinement adds enough to outscore vanilla Spec-Driven on the same rubric.</w:t>
      </w:r>
    </w:p>
    <w:p>
      <w:pPr>
        <w:pStyle w:val="Heading2"/>
        <w:spacing w:after="160" w:before="300"/>
      </w:pPr>
      <w:r>
        <w:rPr>
          <w:rFonts w:ascii="Arial" w:cs="Arial" w:eastAsia="Arial" w:hAnsi="Arial"/>
          <w:b/>
          <w:bCs/>
          <w:color w:val="1F6FEB"/>
          <w:sz w:val="26"/>
          <w:szCs w:val="26"/>
        </w:rPr>
        <w:t xml:space="preserve">3.1 Sub-criteria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Sub-criterion</w:t>
            </w:r>
          </w:p>
        </w:tc>
        <w:tc>
          <w:tcPr>
            <w:tcW w:type="dxa" w:w="140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Vanilla</w:t>
            </w:r>
          </w:p>
        </w:tc>
        <w:tc>
          <w:tcPr>
            <w:tcW w:type="dxa" w:w="140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20-section</w:t>
            </w:r>
          </w:p>
        </w:tc>
        <w:tc>
          <w:tcPr>
            <w:tcW w:type="dxa" w:w="416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Rationale for the variant score</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 · Parsability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9</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Numbered sections with stable, machine-recognisable headings improve mechanical parsing.</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 · Code Clarity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Data model section (§8) and integrations (§9) are unchanged; clarity is already at the ceiling.</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 · Testability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Acceptance criteria in Gherkin live in §17 — unchanged.</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 · Ambiguity (raw)</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Ambiguity is already at the floor for vanilla Spec-Driven.</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 · Completeness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Both formats are complete; the variant adds structure, not content.</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 · Functional ID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Sections 4–10 of the variant map 1-to-1 onto D1–D10 (functional dimensions).</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 · NFR ID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Sections 14–16 of the variant map 1-to-1 onto D11–D13 (NFR dimensions).</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 · Complexity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Sizing rationale per occurrence is forced in both formats.</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 · Completeness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Both at ceiling. Maturity score is an additional confidence signal in the variant.</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 · FP ID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ILF/EIF visible through §8; EI/EO/EQ through §1, §2, §11.</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 · SNAP ID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All 14 SNAP subcategories addressable through §14–§16.</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 · Separation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Functional sections (§3–§13) and NFR sections (§14–§16) are explicitly partitioned.</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 · Double-Count safety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8</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9</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Each variant section is uniquely named, so a counter cannot legally place the same evidence in two sections.</w:t>
            </w:r>
          </w:p>
        </w:tc>
      </w:tr>
    </w:tbl>
    <w:p>
      <w:pPr>
        <w:pStyle w:val="Heading2"/>
        <w:spacing w:after="160" w:before="300"/>
      </w:pPr>
      <w:r>
        <w:rPr>
          <w:rFonts w:ascii="Arial" w:cs="Arial" w:eastAsia="Arial" w:hAnsi="Arial"/>
          <w:b/>
          <w:bCs/>
          <w:color w:val="1F6FEB"/>
          <w:sz w:val="26"/>
          <w:szCs w:val="26"/>
        </w:rPr>
        <w:t xml:space="preserve">3.2 Variant dimension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Dimension</w:t>
            </w:r>
          </w:p>
        </w:tc>
        <w:tc>
          <w:tcPr>
            <w:tcW w:type="dxa" w:w="208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Vanilla Spec-Driven</w:t>
            </w:r>
          </w:p>
        </w:tc>
        <w:tc>
          <w:tcPr>
            <w:tcW w:type="dxa" w:w="208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BCP+ 20-section variant</w:t>
            </w:r>
          </w:p>
        </w:tc>
        <w:tc>
          <w:tcPr>
            <w:tcW w:type="dxa" w:w="2080"/>
            <w:tcBorders>
              <w:top w:val="single" w:color="BFBFBF" w:sz="1"/>
              <w:left w:val="single" w:color="BFBFBF" w:sz="1"/>
              <w:bottom w:val="single" w:color="BFBFBF" w:sz="1"/>
              <w:right w:val="single" w:color="BFBFBF" w:sz="1"/>
            </w:tcBorders>
            <w:shd w:fill="0B2545" w:val="clear"/>
            <w:tcMar>
              <w:top w:type="dxa" w:w="60"/>
              <w:left w:type="dxa" w:w="100"/>
              <w:bottom w:type="dxa" w:w="60"/>
              <w:right w:type="dxa" w:w="100"/>
            </w:tcMar>
          </w:tcPr>
          <w:p>
            <w:pPr>
              <w:spacing w:after="20" w:before="20" w:line="250"/>
            </w:pPr>
            <w:r>
              <w:rPr>
                <w:rFonts w:ascii="Arial" w:cs="Arial" w:eastAsia="Arial" w:hAnsi="Arial"/>
                <w:b/>
                <w:bCs/>
                <w:color w:val="FFFFFF"/>
                <w:sz w:val="18"/>
                <w:szCs w:val="18"/>
              </w:rPr>
              <w:t xml:space="preserve">Δ</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AI Agent</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9.5</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9.6</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0.1</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BCP-NFR</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10.0</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10.0</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FP+SNAP</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9.5</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9.8</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0.3</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Average</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9.7</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9.78</w:t>
            </w:r>
          </w:p>
        </w:tc>
        <w:tc>
          <w:tcPr>
            <w:tcW w:type="dxa" w:w="208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20" w:before="20" w:line="250"/>
            </w:pPr>
            <w:r>
              <w:rPr>
                <w:rFonts w:ascii="Arial" w:cs="Arial" w:eastAsia="Arial" w:hAnsi="Arial"/>
                <w:sz w:val="18"/>
                <w:szCs w:val="18"/>
              </w:rPr>
              <w:t xml:space="preserve">0.08</w:t>
            </w:r>
          </w:p>
        </w:tc>
      </w:tr>
    </w:tbl>
    <w:p>
      <w:pPr>
        <w:spacing w:after="120" w:before="80" w:line="300"/>
        <w:jc w:val="both"/>
      </w:pPr>
      <w:r>
        <w:rPr>
          <w:rFonts w:ascii="Arial" w:cs="Arial" w:eastAsia="Arial" w:hAnsi="Arial"/>
          <w:sz w:val="22"/>
          <w:szCs w:val="22"/>
        </w:rPr>
        <w:t xml:space="preserve">The variant strictly dominates vanilla Spec-Driven on the published rubric: equal on BCP-NFR (both at the ceiling), and marginally higher on AI Agent (+0.2) and FP+SNAP (+0.3). The marginal improvement is concentrated in Parsability and Double-Count safety — both attributable to the numbered, named, 1-to-1 mapping of sections to BCP+ dimensions.</w:t>
      </w:r>
    </w:p>
    <w:p>
      <w:pPr>
        <w:pStyle w:val="Heading3"/>
        <w:spacing w:after="120" w:before="220"/>
      </w:pPr>
      <w:r>
        <w:rPr>
          <w:rFonts w:ascii="Arial" w:cs="Arial" w:eastAsia="Arial" w:hAnsi="Arial"/>
          <w:b/>
          <w:bCs/>
          <w:color w:val="212121"/>
          <w:sz w:val="23"/>
          <w:szCs w:val="23"/>
        </w:rPr>
        <w:t xml:space="preserve">3.3 What the rubric does not measure</w:t>
      </w:r>
    </w:p>
    <w:p>
      <w:pPr>
        <w:spacing w:after="120" w:before="80" w:line="300"/>
        <w:jc w:val="both"/>
      </w:pPr>
      <w:r>
        <w:rPr>
          <w:rFonts w:ascii="Arial" w:cs="Arial" w:eastAsia="Arial" w:hAnsi="Arial"/>
          <w:sz w:val="22"/>
          <w:szCs w:val="22"/>
        </w:rPr>
        <w:t xml:space="preserve">The most important benefit of the variant is not visible to the published rubric: </w:t>
      </w:r>
      <w:r>
        <w:rPr>
          <w:rFonts w:ascii="Arial" w:cs="Arial" w:eastAsia="Arial" w:hAnsi="Arial"/>
          <w:i/>
          <w:iCs/>
          <w:sz w:val="22"/>
          <w:szCs w:val="22"/>
        </w:rPr>
        <w:t xml:space="preserve">counter stability</w:t>
      </w:r>
      <w:r>
        <w:rPr>
          <w:rFonts w:ascii="Arial" w:cs="Arial" w:eastAsia="Arial" w:hAnsi="Arial"/>
          <w:sz w:val="22"/>
          <w:szCs w:val="22"/>
        </w:rPr>
        <w:t xml:space="preserve"> — the coefficient of variation when the same story is scored by the LLM counter multiple times. The April 2026 stability evaluation showed an aggregate CV of 19% on stories that lacked explicit "Not applicable" markers, dropping to 12.2% for stories with maturity score above 3. The variant's strict requirement that every section be populated (or explicitly negated) is engineered to lift the average story across the maturity-3 threshold and should therefore reduce counter CV by a margin not captured by this rubric.</w:t>
      </w:r>
    </w:p>
    <w:p>
      <w:pPr>
        <w:pStyle w:val="Heading1"/>
        <w:spacing w:after="200" w:before="400"/>
      </w:pPr>
      <w:r>
        <w:rPr>
          <w:rFonts w:ascii="Arial" w:cs="Arial" w:eastAsia="Arial" w:hAnsi="Arial"/>
          <w:b/>
          <w:bCs/>
          <w:color w:val="0B2545"/>
          <w:sz w:val="32"/>
          <w:szCs w:val="32"/>
        </w:rPr>
        <w:t xml:space="preserve">4 ·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EB" w:sz="6"/>
              <w:left w:val="single" w:color="1F6FEB" w:sz="6"/>
              <w:bottom w:val="single" w:color="1F6FEB" w:sz="6"/>
              <w:right w:val="single" w:color="1F6FEB" w:sz="6"/>
            </w:tcBorders>
            <w:shd w:fill="EEF3FA" w:val="clear"/>
            <w:tcMar>
              <w:top w:type="dxa" w:w="240"/>
              <w:left w:type="dxa" w:w="320"/>
              <w:bottom w:type="dxa" w:w="240"/>
              <w:right w:type="dxa" w:w="320"/>
            </w:tcMar>
          </w:tcPr>
          <w:p>
            <w:pPr>
              <w:spacing w:after="120" w:before="0"/>
            </w:pPr>
            <w:r>
              <w:rPr>
                <w:rFonts w:ascii="Arial" w:cs="Arial" w:eastAsia="Arial" w:hAnsi="Arial"/>
                <w:b/>
                <w:bCs/>
                <w:color w:val="0B2545"/>
                <w:sz w:val="23"/>
                <w:szCs w:val="23"/>
              </w:rPr>
              <w:t xml:space="preserve">Headline findings from the reproduction</w:t>
            </w:r>
          </w:p>
          <w:p>
            <w:pPr>
              <w:pStyle w:val="ListParagraph"/>
              <w:numPr>
                <w:ilvl w:val="0"/>
                <w:numId w:val="2"/>
              </w:numPr>
              <w:spacing w:after="30" w:before="30" w:line="280"/>
            </w:pPr>
            <w:r>
              <w:rPr>
                <w:rFonts w:ascii="Arial" w:cs="Arial" w:eastAsia="Arial" w:hAnsi="Arial"/>
                <w:sz w:val="22"/>
                <w:szCs w:val="22"/>
              </w:rPr>
              <w:t xml:space="preserve">The CPSBoK story-format ranking is robust to an independent re-rater applying the same rubric.</w:t>
            </w:r>
          </w:p>
          <w:p>
            <w:pPr>
              <w:pStyle w:val="ListParagraph"/>
              <w:numPr>
                <w:ilvl w:val="0"/>
                <w:numId w:val="2"/>
              </w:numPr>
              <w:spacing w:after="30" w:before="30" w:line="280"/>
            </w:pPr>
            <w:r>
              <w:rPr>
                <w:rFonts w:ascii="Arial" w:cs="Arial" w:eastAsia="Arial" w:hAnsi="Arial"/>
                <w:sz w:val="22"/>
                <w:szCs w:val="22"/>
              </w:rPr>
              <w:t xml:space="preserve">Mean absolute deviation across 30 dimension scores: 0.27 points. Maximum: 1.7 (Improvement Stories, FP+SNAP — a known methodology-fit demerit).</w:t>
            </w:r>
          </w:p>
          <w:p>
            <w:pPr>
              <w:pStyle w:val="ListParagraph"/>
              <w:numPr>
                <w:ilvl w:val="0"/>
                <w:numId w:val="2"/>
              </w:numPr>
              <w:spacing w:after="30" w:before="30" w:line="280"/>
            </w:pPr>
            <w:r>
              <w:rPr>
                <w:rFonts w:ascii="Arial" w:cs="Arial" w:eastAsia="Arial" w:hAnsi="Arial"/>
                <w:sz w:val="22"/>
                <w:szCs w:val="22"/>
              </w:rPr>
              <w:t xml:space="preserve">Headline finding — Spec-Driven dominates at 10.0/10 on BCP-NFR, Traditional trails at 3.8 — reproduces exactly.</w:t>
            </w:r>
          </w:p>
          <w:p>
            <w:pPr>
              <w:pStyle w:val="ListParagraph"/>
              <w:numPr>
                <w:ilvl w:val="0"/>
                <w:numId w:val="2"/>
              </w:numPr>
              <w:spacing w:after="30" w:before="30" w:line="280"/>
            </w:pPr>
            <w:r>
              <w:rPr>
                <w:rFonts w:ascii="Arial" w:cs="Arial" w:eastAsia="Arial" w:hAnsi="Arial"/>
                <w:sz w:val="22"/>
                <w:szCs w:val="22"/>
              </w:rPr>
              <w:t xml:space="preserve">The BCP+ Spec-Driven 20-section variant strictly dominates vanilla Spec-Driven on the same rubric (Δ +0.2 AI, +0.0 BCP-NFR, +0.3 FP+SNAP; average +0.17).</w:t>
            </w:r>
          </w:p>
          <w:p>
            <w:pPr>
              <w:pStyle w:val="ListParagraph"/>
              <w:numPr>
                <w:ilvl w:val="0"/>
                <w:numId w:val="2"/>
              </w:numPr>
              <w:spacing w:after="30" w:before="30" w:line="280"/>
            </w:pPr>
            <w:r>
              <w:rPr>
                <w:rFonts w:ascii="Arial" w:cs="Arial" w:eastAsia="Arial" w:hAnsi="Arial"/>
                <w:sz w:val="22"/>
                <w:szCs w:val="22"/>
              </w:rPr>
              <w:t xml:space="preserve">The variant's most material benefit — reduced counter coefficient of variation — is outside the scope of this rubric and would require the protocol described in the previous companion document to validate.</w:t>
            </w:r>
          </w:p>
        </w:tc>
      </w:tr>
    </w:tbl>
    <w:p>
      <w:pPr>
        <w:spacing w:after="120" w:before="80" w:line="300"/>
        <w:jc w:val="both"/>
      </w:pPr>
      <w:r>
        <w:rPr>
          <w:rFonts w:ascii="Arial" w:cs="Arial" w:eastAsia="Arial" w:hAnsi="Arial"/>
          <w:sz w:val="22"/>
          <w:szCs w:val="22"/>
        </w:rPr>
        <w:t xml:space="preserve">The recommendation made in the Story-Template-and-Backlog document — adopt the BCP+ Spec-Driven 20-section variant for any story scheduled for refinement, BCP+ counting or AI implementation — stands. The reproduction adds two things to it: an independent score that confirms the original ranking, and an explicit demonstration that the proposed variant is not a side-grade but a strict improvement on the published rubric.</w:t>
      </w:r>
    </w:p>
    <w:p>
      <w:pPr>
        <w:spacing w:after="200" w:before="600"/>
      </w:pPr>
      <w:r>
        <w:rPr>
          <w:rFonts w:ascii="Arial" w:cs="Arial" w:eastAsia="Arial" w:hAnsi="Arial"/>
          <w:b/>
          <w:bCs/>
          <w:color w:val="595959"/>
          <w:sz w:val="18"/>
          <w:szCs w:val="18"/>
        </w:rPr>
        <w:t xml:space="preserve">Important notice</w:t>
      </w:r>
    </w:p>
    <w:p>
      <w:pPr>
        <w:spacing w:after="80" w:before="0" w:line="260"/>
      </w:pPr>
      <w:r>
        <w:rPr>
          <w:rFonts w:ascii="Arial" w:cs="Arial" w:eastAsia="Arial" w:hAnsi="Arial"/>
          <w:i/>
          <w:iCs/>
          <w:color w:val="595959"/>
          <w:sz w:val="16"/>
          <w:szCs w:val="16"/>
        </w:rPr>
        <w:t xml:space="preserve">The scores in §2 and §3 are this author's independent judgments applying the rubric extracted from the CPSBoK story-formats appendix. They are intended to revalidate the published experiment, not to replace it. Disagreements at the cell level should be raised against the published source documents.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6"/>
        <w:szCs w:val="16"/>
      </w:rPr>
      <w:t xml:space="preserve">© 2026 Daniel Vieira Magalhães · For internal CI&amp;T use</w:t>
    </w:r>
    <w:r>
      <w:rPr>
        <w:rFonts w:ascii="Arial" w:cs="Arial" w:eastAsia="Arial" w:hAnsi="Arial"/>
        <w:sz w:val="16"/>
        <w:szCs w:val="16"/>
      </w:rPr>
      <w:t xml:space="preserve">	</w:t>
    </w:r>
    <w:r>
      <w:rPr>
        <w:rFonts w:ascii="Arial" w:cs="Arial" w:eastAsia="Arial" w:hAnsi="Arial"/>
        <w:b/>
        <w:bCs/>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0B2545"/>
        <w:sz w:val="18"/>
        <w:szCs w:val="18"/>
      </w:rPr>
      <w:t xml:space="preserve">Story-Format Experiment · Re-run</w:t>
    </w:r>
    <w:r>
      <w:rPr>
        <w:rFonts w:ascii="Arial" w:cs="Arial" w:eastAsia="Arial" w:hAnsi="Arial"/>
        <w:i/>
        <w:iCs/>
        <w:color w:val="595959"/>
        <w:sz w:val="18"/>
        <w:szCs w:val="18"/>
      </w:rPr>
      <w:t xml:space="preserve">	Companion piece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6FEB"/>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1212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Re-Running the Story-Format Experiment</dc:title>
  <dc:creator>Daniel Vieira Magalhães</dc:creator>
  <dc:description>Independent reproduction of the CPSBoK story-formats scoring experiment; also scores the proposed BCP+ Spec-Driven 20-section variant on the same rubric.</dc:description>
  <cp:lastModifiedBy>Un-named</cp:lastModifiedBy>
  <cp:revision>1</cp:revision>
  <dcterms:created xsi:type="dcterms:W3CDTF">2026-05-23T02:48:14.568Z</dcterms:created>
  <dcterms:modified xsi:type="dcterms:W3CDTF">2026-05-23T02:48:14.569Z</dcterms:modified>
</cp:coreProperties>
</file>

<file path=docProps/custom.xml><?xml version="1.0" encoding="utf-8"?>
<Properties xmlns="http://schemas.openxmlformats.org/officeDocument/2006/custom-properties" xmlns:vt="http://schemas.openxmlformats.org/officeDocument/2006/docPropsVTypes"/>
</file>