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20"/>
          <w:szCs w:val="20"/>
        </w:rPr>
        <w:t xml:space="preserve">INSIGHT SERIES  |  </w:t>
      </w:r>
      <w:r>
        <w:rPr>
          <w:rFonts w:ascii="Arial" w:cs="Arial" w:eastAsia="Arial" w:hAnsi="Arial"/>
          <w:b/>
          <w:bCs/>
          <w:color w:val="0B2545"/>
          <w:sz w:val="20"/>
          <w:szCs w:val="20"/>
        </w:rPr>
        <w:t xml:space="preserve">Software Engineering Excellence</w:t>
      </w:r>
    </w:p>
    <w:p>
      <w:pPr>
        <w:pBdr>
          <w:bottom w:val="single" w:color="1F6FEB" w:sz="18" w:space="1"/>
        </w:pBdr>
        <w:spacing w:after="6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B2545"/>
          <w:sz w:val="64"/>
          <w:szCs w:val="64"/>
        </w:rPr>
        <w:t xml:space="preserve">Validating the BCP+ Spec-Driven Template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6"/>
          <w:szCs w:val="26"/>
        </w:rPr>
        <w:t xml:space="preserve">A two-part audit: manual BCP+ count on three sample stories</w:t>
      </w:r>
    </w:p>
    <w:p>
      <w:pPr>
        <w:spacing w:after="600" w:before="0"/>
      </w:pPr>
      <w:r>
        <w:rPr>
          <w:rFonts w:ascii="Arial" w:cs="Arial" w:eastAsia="Arial" w:hAnsi="Arial"/>
          <w:color w:val="212121"/>
          <w:sz w:val="26"/>
          <w:szCs w:val="26"/>
        </w:rPr>
        <w:t xml:space="preserve">and an explicit principles-adherence checklist.</w:t>
      </w:r>
    </w:p>
    <w:p>
      <w:pPr>
        <w:spacing w:after="320" w:before="0" w:line="3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This companion piece does not — and cannot — re-run the original CI&amp;T Flow team experiment (43 stories × 25 iterations on GPT-4o-mini). What it does is the closest substitute available from this seat: (1) manually count BCP+ for three stories from the new backlog and check that the dimensions sum to plausible totals; (2) audit the proposed template against every named BCP+ principle and report a per-principle verdict.</w:t>
      </w:r>
    </w:p>
    <w:p>
      <w:pPr>
        <w:spacing w:after="60" w:before="60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AUTHORED BY</w:t>
      </w:r>
    </w:p>
    <w:p>
      <w:r>
        <w:rPr>
          <w:rFonts w:ascii="Arial" w:cs="Arial" w:eastAsia="Arial" w:hAnsi="Arial"/>
          <w:b/>
          <w:bCs/>
          <w:color w:val="0B2545"/>
          <w:sz w:val="24"/>
          <w:szCs w:val="24"/>
        </w:rPr>
        <w:t xml:space="preserve">Daniel Vieira Magalhães</w:t>
      </w:r>
    </w:p>
    <w:p>
      <w:pPr>
        <w:spacing w:after="32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Head of Operations  |  CI&amp;T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1 · Scope of this validation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The April 2026 stability evaluation referenced in the BCP+ whitepaper was executed by the CI&amp;T Flow team against the production BCP+ Scope Counting prompt chain on GPT-4o-mini at temperature 0. Reproducing it requires the prompt-chain source code, an OpenAI account with access to the deprecated GPT-4o-mini model, and the canonical 43-story input set with its human-assigned BCP final sizes. I do not have access to those three artefacts from this session, and I will not invent a reproduction.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What this companion piece can credibly do is two things: first, manually count BCP+ on a sample of stories drawn from the new backlog, using only the BCP+ sizing tables, and report whether the totals are reasonable; second, audit the proposed Spec-Driven template against every named BCP+ principle, and report a per-principle verdict with rationale.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6"/>
              <w:left w:val="single" w:color="1F6FEB" w:sz="6"/>
              <w:bottom w:val="single" w:color="1F6FEB" w:sz="6"/>
              <w:right w:val="single" w:color="1F6FEB" w:sz="6"/>
            </w:tcBorders>
            <w:shd w:fill="EEF3F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What the original test measured vs. what this audit measures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April 2026 test: counter stability — coefficient of variation across 25 repeat invocations of the same prompt on the same 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audit: template completeness — whether the proposed Spec-Driven format surfaces every BCP+ dimension explicitly enough for any rule-following counter (human or LLM) to produce a stable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Both tests are necessary; neither is sufficient. The first measures the counter; the second measures the input.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2 · Manual BCP+ counts on three stories from the backlog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 selected three stories from the bcp-plus backlog: one security-critical with an external integration (BCPP-101), one content page heavy on UX (BCPP-303), and one library/component story (BCPP-501). Each is scored below by applying the BCP+ sizing tables directly to the spec, with the rationale recorded per dimension.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BCPP-101 — Google OAuth sign-in restricted to @ciandt.com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800"/>
        <w:gridCol w:w="600"/>
        <w:gridCol w:w="52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BCP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M+M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flow with ≥3 decision points (domain check, error redirects) → M (3). One alt-flow rule cluster → M (3). 3+3=6.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Elements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M+XL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static elements in NEW context (sign-in card) → M (3). 2 dynamic in new context (spinner, error banner) cluster → XL (8). 3+8=11.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 / Permissions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sets span two depth levels: external anonymous, internal user, rejected external. → L (5).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 Variabilities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ALLOWED_EMAIL_DOMAIN env var changes minor behaviour (which domain is allowed). Common solution, small parametric variation → M (3).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Boundaries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= remote service exchanging perennial information → L (5). Neon Auth / Neon Postgres are internal infrastructure, not separate business boundaries.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Entities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and Session — 2 entities → S (2).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Domain Entities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Neon Auth owns the schema; no new entities introduced by this story.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Processes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stealth processes.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outbound notifications on sign-in.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XS+XS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(lastLoginAt) and Session (created/destroyed) audited → 1+1=2.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Attributes (NFR)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 &lt; 3 s, 99.5% uptime, ≤200 concurrent — enhanced over standard but not high → S (2).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2.0/OIDC, LGPD + GDPR posture, secrets management with quarterly rotation, CSRF protection via state, HTTPS-only → L (5).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&amp; Accessibility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— labelled fields, focus ring, ARIA announcements for errors → L (5).</w:t>
            </w:r>
          </w:p>
        </w:tc>
      </w:tr>
    </w:tbl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 Ratio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26.1%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</w:tr>
    </w:tbl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BCPP-303 — BCPplus methodology page (13 dimensions)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800"/>
        <w:gridCol w:w="600"/>
        <w:gridCol w:w="52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BCP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 render of hero → prose → cards → images; no decision points. → S (2).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Elements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M+XL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static elements in NEW context (hero, intro, prose, two images) → M (3). 13 dynamic dimension cards in new context → XL (8). 3+8=11.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 / Permissions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 role (reader) with uniform permissions → S (2).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 Variabilities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page variant; lib/dimensions.ts changes are content updates, not solution variabilities for this page.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Boundaries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Self-contained: server renders from in-process module. → XS (1).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Entities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FUNCTIONAL_DIMENSIONS, NFR_DIMENSIONS (2 entities consumed) → S (2).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Domain Entities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new entities (Dimension type was introduced by BCPP-501).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Processes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Attributes (NFR)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LCP &lt; 1.5 s SLA — modest enhancement over standard → S (2).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data class; only HTTPS + session auth (inherited). → XS (1).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&amp; Accessibility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— anchor links keyboard-reachable, NFR badge announced. → L (5).</w:t>
            </w:r>
          </w:p>
        </w:tc>
      </w:tr>
    </w:tbl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 Ratio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30.8%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NFR-heavy</w:t>
            </w:r>
          </w:p>
        </w:tc>
      </w:tr>
    </w:tbl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BCPP-501 — Dimensions registry and DimensionCard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800"/>
        <w:gridCol w:w="600"/>
        <w:gridCol w:w="52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BCP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Trivial branching: render badges based on dim.sizes[i] &gt; 0. → XS (1).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Elements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dynamic DimensionCard instances rendered in existing context (the methodology pages) → cluster of dynamic → L (5).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 / Permissions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roles at same depth (maintainer who edits via PR, reader who consumes) → M (3).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 Variabilities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∈ {fn, nfr} parameter changes badge styling and ARIA marker — minor behavioural variation → M (3).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Boundaries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 TypeScript module + React component. → XS (1).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Entities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pre-existing entity modified.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Domain Entities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Introduces Dimension interface with id/group/n/title/desc/sizes[]. Adds attributes/relationships to existing domain (≤3 existing entities affected). → M (3).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Processes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change history lives in git.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Attributes (NFR)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SLA beyond default; pure server render.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Internal, no security beyond baseline inherited.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&amp; Accessibility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&lt;article&gt; landmark, aria-label on each badge, NFR marker for screen readers → WCAG 2.1 AA → L (5).</w:t>
            </w:r>
          </w:p>
        </w:tc>
      </w:tr>
    </w:tbl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BCP+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 Ratio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23.8%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</w:tr>
    </w:tbl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Sanity checks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The three stories total 46, 26 and 21 BCP+ respectively — a mean of 31 and a range of 25. The April 2026 baseline (43 stories) had a mean of 11.95 and a max of 29. The new stories sit above the baseline mean, which is expected and desirable: Spec-Driven stories surface more dimensions explicitly, and the counter therefore stops under-detecting NFR work.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Two findings worth noting: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Every story produces a non-zero contribution on Interface Elements (D2), Roles / Permissions (D3) and UX &amp; Accessibility (D13). These three dimensions are essentially "always-on" for this application and should be expected to dominate the functional and NFR subtotals.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BCPP-101 (OAuth) is the only story with a non-trivial Security &amp; Compliance contribution (D12=5). This matches the principle from the April 2026 evaluation that NFR dimensions are sparse but heavy — they do not apply to every story, but when they do they materially move the total.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If a future test sets temperature 0 and re-counts BCPP-101 25 times, the per-dimension answers should match the rationale above to within a single Fibonacci step. Where the test diverges from this audit, the prompt — not the spec — is the variable to vary.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3 · BCP+ principles adherence audit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 list below the twelve principles that, taken together, define what BCP+ ("big powers") is. For each, the audit records what the template does and a verdict. All twelve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4960"/>
        <w:gridCol w:w="10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BCP+ principle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support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Business-first decomposition (story starts with the why, not the how)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Sections 1 (Business narrative) and 2 (Value statement) precede any technical detail.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orthogonal dimensions, each separately countable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Sections 3–16 of the template map 1-to-1 onto D1–D13. No dimension shares a section.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Fibonacci sizing — XS=1, S=2, M=3, L=5, XL=8 — and only those values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does not perform sizing; the BCP+ counter does. Acceptance criteria validate that the spec contains the structured fields a Fibonacci-sized counter can read.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occurrences counted separately, with rationale per occurrence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dimension section accepts a list. The audit in §2 shows BCPP-101 with two Business Rules occurrences (3+3=6) and two Audits occurrences (1+1=2) sized independently.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"When-to-apply" gating — absence is silence, not zero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requires explicit "Not applicable" rather than omission of the section. This is enforced by the maturity rubric (omitted sections cap maturity at 3).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Maturity-driven confidence — the counter exposes how reliable its own output is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carries a self-score 1–5 with a published rubric; the rubric matches the empirical observation that mature stories show 12.2% CV vs. 39.5% for immature ones.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 Ratio computable per story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Sections 14 (D11), 15 (D12) and 16 (D13) are explicitly tagged "*NFR*". Totals block in §2 computes the NFR Ratio mechanically.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Backward compatibility with classical 10-dimension BCP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Dimensions 1–10 of the template are unchanged from the May 2026 open-source BCP. A story written in this template is a valid input to both the BCP and BCP+ counters.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Agile-friendly — fits in a Jira description, not a 30-page SRS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is approximately 20 short sections; three of the three stories in §2 fit in roughly two A4 pages. CPSBoK estimates 2–4 hours per refined story.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 signal explicitly to avoid LLM inference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dimension has a named section with structured fields. The counter no longer has to guess where the Boundaries information lives — section 9 is the only legal location.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with CPS practices (Setup, Production Flow, Value Activation)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fields align with the maturity-rubric gate recommended in CPS Practice 16 (Backlog Refinement) and the H/BCP measurement loop in Practice 18 (Plan Delivery Capacity).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Counter-output interpretability — rationales per dimension are inspectable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encourages the same shape of evidence the LLM produces, so an analyst comparing manual and LLM counts can do it dimension-by-dimension. §2 above demonstrates the format.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Two principles deserve a footnote.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12121"/>
          <w:sz w:val="23"/>
          <w:szCs w:val="23"/>
        </w:rPr>
        <w:t xml:space="preserve">Footnote on Principle 4 — multiple occurrences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The classical BCP literature includes a small subtlety: multiple boundaries are sometimes counted separately and sometimes treated as a single L=5 contribution. The CPSBoK examples are not strictly consistent — the trading platform example counts two boundaries separately (L+XL = 13) while the e-commerce order example counts one even though a payment gateway and internal services both apply. For the §2 manual count we adopted the trading-platform interpretation only when the boundaries cross materially different external systems (e.g., Google OAuth vs. nothing in BCPP-101 — single boundary). This is the conservative interpretation and produces lower totals; the alternative interpretation would produce higher BCP+ for boundary-heavy stories.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12121"/>
          <w:sz w:val="23"/>
          <w:szCs w:val="23"/>
        </w:rPr>
        <w:t xml:space="preserve">Footnote on Principle 5 — explicit "Not applicable"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principle most often violated by teams new to BCP+. In the April 2026 evaluation, the two highest-CV dimensions (Boundaries 44.6%, Solution Variabilities 47.1%) were also the dimensions most often omitted from the input rather than explicitly negated. The proposed template makes the negation mechanical: every section is required, and an empty section reads "Not applicable". This change alone is expected to materially reduce counter variance.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4 · A reproduction protocol for the next CI&amp;T test cycle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 propose the following protocol for the next stability evaluation, designed to isolate the template effect from the model effect and to lift the maturity ceiling on the input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replacement model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BCP Simplified test suite against the candidate successors to GPT-4o-mini (GPT-4.1 mini, Claude Haiku 4.5, Gemini Flash). Adopt the lowest aggregate CV.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paired baseline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Re-write the 43 baseline stories in the proposed Spec-Driven template. Keep the human-assigned BCP final size from the original baseline as the ground truth.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Two-arm experiment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 A: original story format on the new model. Arm B: Spec-Driven template on the same new model. 25 iterations each, T=0.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Stratify by maturity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 each story with its template-maturity self-score. Report CV by maturity band, as the original test did.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Per-dimension comparison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ΔCV per dimension between Arms A and B. The hypothesis is that Boundaries and Solution Variabilities will improve most; the three NFR dimensions should stay stable.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 results to the CPSBoK appendix and update the H/BCP target in Section 9 of the BCP+ whitepaper.</w:t>
            </w:r>
          </w:p>
        </w:tc>
      </w:tr>
    </w:tbl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If Arm B aggregate CV ≤ Arm A aggregate CV minus 5 percentage points at the same maturity band, the template change is empirically validated and should be promoted from "recommended" to "mandatory for refinement-ready stories".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5 · Conclusion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 cannot re-run the April 2026 test from this session; doing so would require code, credentials and a deprecated model that are not available here. The two things I can do are: count BCP+ by hand on stories written in the proposed template, and audit the template against every principle that defines BCP+. Both are done above. The hand-counts produce totals (46, 26, 21) that sit in the expected medium-to-complex band and that decompose into per-dimension contributions consistent with the BCP+ sizing tables. The principles audit passes on all twelve points.</w:t>
      </w:r>
    </w:p>
    <w:p>
      <w:pPr>
        <w:spacing w:after="120" w:before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Taken together, this is a strong but bounded result: the template does not over-claim, does not under-specify, and surfaces every dimension explicitly. The next step — and the only honest way to close the loop on the empirical conclusions — is the reproduction protocol in §4, which the CI&amp;T Flow team can run as soon as a replacement for GPT-4o-mini has been selected.</w:t>
      </w:r>
    </w:p>
    <w:p>
      <w:pPr>
        <w:spacing w:after="200" w:before="60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Important notice</w:t>
      </w:r>
    </w:p>
    <w:p>
      <w:pPr>
        <w:spacing w:after="80" w:before="0" w:line="26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Prepared by the author in his capacity as Head of Operations at CI&amp;T. The BCP+ counts in §2 are the author's manual interpretation of the BCP+ sizing tables, not the output of the production counter; they are intended for methodological validation, not as canonical estimates of the underlying engineering 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© 2026 Daniel Vieira Magalhães · For internal CI&amp;T use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BCP+ Template Validation &amp; Audit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	Companion piece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1212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BCP+ Spec-Driven Template — Validation &amp; Principles Audit</dc:title>
  <dc:creator>Daniel Vieira Magalhães</dc:creator>
  <dc:description>Companion audit document: manual BCP+ count of three sample stories plus per-principle adherence checklist.</dc:description>
  <cp:lastModifiedBy>Un-named</cp:lastModifiedBy>
  <cp:revision>1</cp:revision>
  <dcterms:created xsi:type="dcterms:W3CDTF">2026-05-23T02:37:44.591Z</dcterms:created>
  <dcterms:modified xsi:type="dcterms:W3CDTF">2026-05-23T02:37:44.591Z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