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6FEB"/>
          <w:sz w:val="20"/>
          <w:szCs w:val="20"/>
        </w:rPr>
        <w:t xml:space="preserve">INSIGHT SERIES  |  </w:t>
      </w:r>
      <w:r>
        <w:rPr>
          <w:rFonts w:ascii="Arial" w:cs="Arial" w:eastAsia="Arial" w:hAnsi="Arial"/>
          <w:b/>
          <w:bCs/>
          <w:color w:val="0B2545"/>
          <w:sz w:val="20"/>
          <w:szCs w:val="20"/>
        </w:rPr>
        <w:t xml:space="preserve">Software Engineering Excellence</w:t>
      </w:r>
    </w:p>
    <w:p>
      <w:pPr>
        <w:pBdr>
          <w:bottom w:val="single" w:color="1F6FEB" w:sz="18" w:space="1"/>
        </w:pBdr>
        <w:spacing w:after="600" w:before="0"/>
      </w:pPr>
      <w:r>
        <w:rPr>
          <w:rFonts w:ascii="Arial" w:cs="Arial" w:eastAsia="Arial" w:hAnsi="Arial"/>
          <w:sz w:val="2"/>
          <w:szCs w:val="2"/>
        </w:rPr>
        <w:t xml:space="preserve"/>
      </w:r>
    </w:p>
    <w:p>
      <w:pPr>
        <w:spacing w:after="120" w:before="0"/>
        <w:jc w:val="left"/>
      </w:pPr>
      <w:r>
        <w:rPr>
          <w:rFonts w:ascii="Arial" w:cs="Arial" w:eastAsia="Arial" w:hAnsi="Arial"/>
          <w:b/>
          <w:bCs/>
          <w:color w:val="0B2545"/>
          <w:sz w:val="96"/>
          <w:szCs w:val="96"/>
        </w:rPr>
        <w:t xml:space="preserve">BCP Plus</w:t>
      </w:r>
    </w:p>
    <w:p>
      <w:pPr>
        <w:spacing w:after="60" w:before="0"/>
        <w:jc w:val="left"/>
      </w:pPr>
      <w:r>
        <w:rPr>
          <w:rFonts w:ascii="Arial" w:cs="Arial" w:eastAsia="Arial" w:hAnsi="Arial"/>
          <w:color w:val="212121"/>
          <w:sz w:val="28"/>
          <w:szCs w:val="28"/>
        </w:rPr>
        <w:t xml:space="preserve">A next-generation methodology for sizing functional and non-functional</w:t>
      </w:r>
    </w:p>
    <w:p>
      <w:pPr>
        <w:spacing w:after="600" w:before="0"/>
        <w:jc w:val="left"/>
      </w:pPr>
      <w:r>
        <w:rPr>
          <w:rFonts w:ascii="Arial" w:cs="Arial" w:eastAsia="Arial" w:hAnsi="Arial"/>
          <w:color w:val="212121"/>
          <w:sz w:val="28"/>
          <w:szCs w:val="28"/>
        </w:rPr>
        <w:t xml:space="preserve">complexity in AI-augmented software engineering.</w:t>
      </w:r>
    </w:p>
    <w:p>
      <w:pPr>
        <w:spacing w:after="320" w:before="0" w:line="320"/>
        <w:jc w:val="left"/>
      </w:pPr>
      <w:r>
        <w:rPr>
          <w:rFonts w:ascii="Arial" w:cs="Arial" w:eastAsia="Arial" w:hAnsi="Arial"/>
          <w:i/>
          <w:iCs/>
          <w:color w:val="595959"/>
          <w:sz w:val="22"/>
          <w:szCs w:val="22"/>
        </w:rPr>
        <w:t xml:space="preserve">Building on the May 2026 open-source release of Business Complexity Points by CI&amp;T and Itaú Unibanco, BCP Plus extends the methodology with three explicit non-functional dimensions and an enterprise-grade evaluation protocol — engineered for organisations operating hybrid human–AI engineering teams at scale.</w:t>
      </w:r>
    </w:p>
    <w:p>
      <w:pPr>
        <w:spacing w:after="60" w:before="600"/>
        <w:jc w:val="left"/>
      </w:pPr>
      <w:r>
        <w:rPr>
          <w:rFonts w:ascii="Arial" w:cs="Arial" w:eastAsia="Arial" w:hAnsi="Arial"/>
          <w:b/>
          <w:bCs/>
          <w:color w:val="1F6FEB"/>
          <w:sz w:val="18"/>
          <w:szCs w:val="18"/>
        </w:rPr>
        <w:t xml:space="preserve">AUTHORED BY</w:t>
      </w:r>
    </w:p>
    <w:p>
      <w:pPr>
        <w:spacing w:after="0" w:before="0"/>
        <w:jc w:val="left"/>
      </w:pPr>
      <w:r>
        <w:rPr>
          <w:rFonts w:ascii="Arial" w:cs="Arial" w:eastAsia="Arial" w:hAnsi="Arial"/>
          <w:b/>
          <w:bCs/>
          <w:color w:val="0B2545"/>
          <w:sz w:val="24"/>
          <w:szCs w:val="24"/>
        </w:rPr>
        <w:t xml:space="preserve">Daniel Vieira Magalhães</w:t>
      </w:r>
    </w:p>
    <w:p>
      <w:pPr>
        <w:spacing w:after="320" w:before="40"/>
        <w:jc w:val="left"/>
      </w:pPr>
      <w:r>
        <w:rPr>
          <w:rFonts w:ascii="Arial" w:cs="Arial" w:eastAsia="Arial" w:hAnsi="Arial"/>
          <w:color w:val="595959"/>
          <w:sz w:val="22"/>
          <w:szCs w:val="22"/>
        </w:rPr>
        <w:t xml:space="preserve">Head of Operations  |  CI&amp;T</w:t>
      </w:r>
    </w:p>
    <w:p>
      <w:pPr>
        <w:spacing w:after="0" w:before="0"/>
        <w:jc w:val="left"/>
      </w:pPr>
      <w:r>
        <w:rPr>
          <w:rFonts w:ascii="Arial" w:cs="Arial" w:eastAsia="Arial" w:hAnsi="Arial"/>
          <w:i/>
          <w:iCs/>
          <w:color w:val="595959"/>
          <w:sz w:val="20"/>
          <w:szCs w:val="20"/>
        </w:rPr>
        <w:t xml:space="preserve">May 2026</w:t>
      </w:r>
    </w:p>
    <w:p>
      <w:r>
        <w:br w:type="page"/>
      </w:r>
    </w:p>
    <w:p>
      <w:pPr>
        <w:spacing w:after="80" w:before="320"/>
        <w:jc w:val="left"/>
      </w:pPr>
      <w:r>
        <w:rPr>
          <w:rFonts w:ascii="Arial" w:cs="Arial" w:eastAsia="Arial" w:hAnsi="Arial"/>
          <w:b/>
          <w:bCs/>
          <w:color w:val="1F6FEB"/>
          <w:sz w:val="24"/>
          <w:szCs w:val="24"/>
        </w:rPr>
        <w:t xml:space="preserve">Foreword · </w:t>
      </w:r>
      <w:r>
        <w:rPr>
          <w:rFonts w:ascii="Arial" w:cs="Arial" w:eastAsia="Arial" w:hAnsi="Arial"/>
          <w:b/>
          <w:bCs/>
          <w:color w:val="0B2545"/>
          <w:sz w:val="24"/>
          <w:szCs w:val="24"/>
        </w:rPr>
        <w:t xml:space="preserve">From the author</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From where I sit in operations, software estimation is the single most under-instrumented decision-making activity in the modern enterprise. Boards approve multi-year transformation budgets that rest on velocity numbers no two delivery teams compute the same way. CIOs are asked to defend AI productivity gains using metrics whose denominator nobody trusts. Engineering leaders inherit roadmaps committed in story points whose definition drifted three reorganisations ago. As Head of Operations at CI&amp;T, I see these gaps converge into real consequences — capacity misalignment, vendor disputes, and unspendable budget — across the engagements we run for our clients every day.</w:t>
      </w:r>
    </w:p>
    <w:p>
      <w:pPr>
        <w:spacing w:after="120" w:before="80" w:line="300"/>
        <w:jc w:val="both"/>
      </w:pPr>
      <w:r>
        <w:rPr>
          <w:rFonts w:ascii="Arial" w:cs="Arial" w:eastAsia="Arial" w:hAnsi="Arial"/>
          <w:sz w:val="22"/>
          <w:szCs w:val="22"/>
        </w:rPr>
        <w:t xml:space="preserve">The May 2026 open-source release of CI&amp;T and Itaú Unibanco's Business Complexity Points (BCP) is an inflection point. For the first time, a fully documented, industrially validated, and licence-permissive complexity framework — together with its LLM-based counter — is available to every CIO, every consultancy, and every regulator that wants one.</w:t>
      </w:r>
    </w:p>
    <w:p>
      <w:pPr>
        <w:spacing w:after="120" w:before="80" w:line="300"/>
        <w:jc w:val="both"/>
      </w:pPr>
      <w:r>
        <w:rPr>
          <w:rFonts w:ascii="Arial" w:cs="Arial" w:eastAsia="Arial" w:hAnsi="Arial"/>
          <w:sz w:val="22"/>
          <w:szCs w:val="22"/>
        </w:rPr>
        <w:t xml:space="preserve">This paper is a practitioner's blueprint for what we believe is the next horizon: </w:t>
      </w:r>
      <w:r>
        <w:rPr>
          <w:rFonts w:ascii="Arial" w:cs="Arial" w:eastAsia="Arial" w:hAnsi="Arial"/>
          <w:b/>
          <w:bCs/>
          <w:sz w:val="22"/>
          <w:szCs w:val="22"/>
        </w:rPr>
        <w:t xml:space="preserve">BCP Plus</w:t>
      </w:r>
      <w:r>
        <w:rPr>
          <w:rFonts w:ascii="Arial" w:cs="Arial" w:eastAsia="Arial" w:hAnsi="Arial"/>
          <w:sz w:val="22"/>
          <w:szCs w:val="22"/>
        </w:rPr>
        <w:t xml:space="preserve">. BCP Plus extends the open-sourced framework with three explicit non-functional dimensions and a per-dimension prompt architecture for AI-assisted counting. It is intentionally engineered for the realities of regulated industries — banking, insurance, healthcare, public sector — where non-functional requirements drive a material share of programme cost, and where executive credibility depends on being able to defend the numbers.</w:t>
      </w:r>
    </w:p>
    <w:p>
      <w:pPr>
        <w:spacing w:after="120" w:before="80" w:line="300"/>
        <w:jc w:val="both"/>
      </w:pPr>
      <w:r>
        <w:rPr>
          <w:rFonts w:ascii="Arial" w:cs="Arial" w:eastAsia="Arial" w:hAnsi="Arial"/>
          <w:sz w:val="22"/>
          <w:szCs w:val="22"/>
        </w:rPr>
        <w:t xml:space="preserve">We share the methodology, the empirical evidence we have gathered from a 43-story production baseline, and the action plan that, in our view, will take the automated counter from today's aggregate coefficient of variation of 19% to the target of approximately 10%. We invite leaders, practitioners and academics to engage with it.</w:t>
      </w:r>
    </w:p>
    <w:p>
      <w:pPr>
        <w:spacing w:after="0" w:before="200" w:line="300"/>
        <w:jc w:val="both"/>
      </w:pPr>
      <w:r>
        <w:rPr>
          <w:rFonts w:ascii="Arial" w:cs="Arial" w:eastAsia="Arial" w:hAnsi="Arial"/>
          <w:b/>
          <w:bCs/>
          <w:sz w:val="22"/>
          <w:szCs w:val="22"/>
        </w:rPr>
        <w:t xml:space="preserve">Daniel Vieira Magalhães</w:t>
      </w:r>
    </w:p>
    <w:p>
      <w:pPr>
        <w:spacing w:after="200" w:before="0" w:line="300"/>
        <w:jc w:val="both"/>
      </w:pPr>
      <w:r>
        <w:rPr>
          <w:rFonts w:ascii="Arial" w:cs="Arial" w:eastAsia="Arial" w:hAnsi="Arial"/>
          <w:i/>
          <w:iCs/>
          <w:color w:val="595959"/>
          <w:sz w:val="22"/>
          <w:szCs w:val="22"/>
        </w:rPr>
        <w:t xml:space="preserve">Head of Operations, CI&amp;T</w:t>
      </w:r>
    </w:p>
    <w:p>
      <w:r>
        <w:br w:type="page"/>
      </w:r>
    </w:p>
    <w:p>
      <w:pPr>
        <w:spacing w:after="80" w:before="320"/>
        <w:jc w:val="left"/>
      </w:pPr>
      <w:r>
        <w:rPr>
          <w:rFonts w:ascii="Arial" w:cs="Arial" w:eastAsia="Arial" w:hAnsi="Arial"/>
          <w:b/>
          <w:bCs/>
          <w:color w:val="1F6FEB"/>
          <w:sz w:val="24"/>
          <w:szCs w:val="24"/>
        </w:rPr>
        <w:t xml:space="preserve">01 · </w:t>
      </w:r>
      <w:r>
        <w:rPr>
          <w:rFonts w:ascii="Arial" w:cs="Arial" w:eastAsia="Arial" w:hAnsi="Arial"/>
          <w:b/>
          <w:bCs/>
          <w:color w:val="0B2545"/>
          <w:sz w:val="24"/>
          <w:szCs w:val="24"/>
        </w:rPr>
        <w:t xml:space="preserve">Executive summary</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Estimation has become a board-level concern. As organisations rebuild their engineering operating models around generative AI, the inability to compare velocity across teams, vendors and tools is now a strategic risk — not merely a planning inconvenience.</w:t>
      </w:r>
    </w:p>
    <w:p>
      <w:pPr>
        <w:spacing w:after="120" w:before="80" w:line="300"/>
        <w:jc w:val="both"/>
      </w:pPr>
      <w:r>
        <w:rPr>
          <w:rFonts w:ascii="Arial" w:cs="Arial" w:eastAsia="Arial" w:hAnsi="Arial"/>
          <w:sz w:val="22"/>
          <w:szCs w:val="22"/>
        </w:rPr>
        <w:t xml:space="preserve">On 21 May 2026, CI&amp;T and Itaú Unibanco jointly released </w:t>
      </w:r>
      <w:r>
        <w:rPr>
          <w:rFonts w:ascii="Arial" w:cs="Arial" w:eastAsia="Arial" w:hAnsi="Arial"/>
          <w:b/>
          <w:bCs/>
          <w:sz w:val="22"/>
          <w:szCs w:val="22"/>
        </w:rPr>
        <w:t xml:space="preserve">Business Complexity Points (BCP)</w:t>
      </w:r>
      <w:r>
        <w:rPr>
          <w:rFonts w:ascii="Arial" w:cs="Arial" w:eastAsia="Arial" w:hAnsi="Arial"/>
          <w:sz w:val="22"/>
          <w:szCs w:val="22"/>
        </w:rPr>
        <w:t xml:space="preserve"> as open source on GitHub under the MIT License, together with an LLM-based simplified counter. The released artefact is the ten-dimension framework first published by CI&amp;T in 2015. We refer to it throughout this paper as </w:t>
      </w:r>
      <w:r>
        <w:rPr>
          <w:rFonts w:ascii="Arial" w:cs="Arial" w:eastAsia="Arial" w:hAnsi="Arial"/>
          <w:i/>
          <w:iCs/>
          <w:sz w:val="22"/>
          <w:szCs w:val="22"/>
        </w:rPr>
        <w:t xml:space="preserve">BCP</w:t>
      </w:r>
      <w:r>
        <w:rPr>
          <w:rFonts w:ascii="Arial" w:cs="Arial" w:eastAsia="Arial" w:hAnsi="Arial"/>
          <w:sz w:val="22"/>
          <w:szCs w:val="22"/>
        </w:rPr>
        <w:t xml:space="preserve"> or </w:t>
      </w:r>
      <w:r>
        <w:rPr>
          <w:rFonts w:ascii="Arial" w:cs="Arial" w:eastAsia="Arial" w:hAnsi="Arial"/>
          <w:i/>
          <w:iCs/>
          <w:sz w:val="22"/>
          <w:szCs w:val="22"/>
        </w:rPr>
        <w:t xml:space="preserve">BCP Simplified</w:t>
      </w:r>
      <w:r>
        <w:rPr>
          <w:rFonts w:ascii="Arial" w:cs="Arial" w:eastAsia="Arial" w:hAnsi="Arial"/>
          <w:sz w:val="22"/>
          <w:szCs w:val="22"/>
        </w:rPr>
        <w:t xml:space="preserve">.</w:t>
      </w:r>
    </w:p>
    <w:p>
      <w:pPr>
        <w:spacing w:after="120" w:before="80" w:line="300"/>
        <w:jc w:val="both"/>
      </w:pPr>
      <w:r>
        <w:rPr>
          <w:rFonts w:ascii="Arial" w:cs="Arial" w:eastAsia="Arial" w:hAnsi="Arial"/>
          <w:sz w:val="22"/>
          <w:szCs w:val="22"/>
        </w:rPr>
        <w:t xml:space="preserve">BCP Plus is the methodology's next horizon. It is an evolution of — not a substitute for — the open-sourced framework. BCP Plus retains all ten functional dimensions and introduces three explicit non-functional dimensions: </w:t>
      </w:r>
      <w:r>
        <w:rPr>
          <w:rFonts w:ascii="Arial" w:cs="Arial" w:eastAsia="Arial" w:hAnsi="Arial"/>
          <w:b/>
          <w:bCs/>
          <w:sz w:val="22"/>
          <w:szCs w:val="22"/>
        </w:rPr>
        <w:t xml:space="preserve">Quality Attributes</w:t>
      </w:r>
      <w:r>
        <w:rPr>
          <w:rFonts w:ascii="Arial" w:cs="Arial" w:eastAsia="Arial" w:hAnsi="Arial"/>
          <w:sz w:val="22"/>
          <w:szCs w:val="22"/>
        </w:rPr>
        <w:t xml:space="preserve">, </w:t>
      </w:r>
      <w:r>
        <w:rPr>
          <w:rFonts w:ascii="Arial" w:cs="Arial" w:eastAsia="Arial" w:hAnsi="Arial"/>
          <w:b/>
          <w:bCs/>
          <w:sz w:val="22"/>
          <w:szCs w:val="22"/>
        </w:rPr>
        <w:t xml:space="preserve">Security &amp; Compliance</w:t>
      </w:r>
      <w:r>
        <w:rPr>
          <w:rFonts w:ascii="Arial" w:cs="Arial" w:eastAsia="Arial" w:hAnsi="Arial"/>
          <w:sz w:val="22"/>
          <w:szCs w:val="22"/>
        </w:rPr>
        <w:t xml:space="preserve">, and </w:t>
      </w:r>
      <w:r>
        <w:rPr>
          <w:rFonts w:ascii="Arial" w:cs="Arial" w:eastAsia="Arial" w:hAnsi="Arial"/>
          <w:b/>
          <w:bCs/>
          <w:sz w:val="22"/>
          <w:szCs w:val="22"/>
        </w:rPr>
        <w:t xml:space="preserve">User Experience &amp; Accessibility</w:t>
      </w:r>
      <w:r>
        <w:rPr>
          <w:rFonts w:ascii="Arial" w:cs="Arial" w:eastAsia="Arial" w:hAnsi="Arial"/>
          <w:sz w:val="22"/>
          <w:szCs w:val="22"/>
        </w:rPr>
        <w:t xml:space="preserve">. The result is a single integer score that brings functional and non-functional complexity into one defensible measurement.</w:t>
      </w:r>
    </w:p>
    <w:p>
      <w:pPr>
        <w:spacing w:after="80" w:before="240"/>
      </w:pPr>
      <w:r>
        <w:rPr>
          <w:rFonts w:ascii="Arial" w:cs="Arial" w:eastAsia="Arial" w:hAnsi="Arial"/>
          <w:b/>
          <w:bCs/>
          <w:color w:val="1F6FEB"/>
          <w:sz w:val="20"/>
          <w:szCs w:val="20"/>
        </w:rPr>
        <w:t xml:space="preserve">Exhibit 1. </w:t>
      </w:r>
      <w:r>
        <w:rPr>
          <w:rFonts w:ascii="Arial" w:cs="Arial" w:eastAsia="Arial" w:hAnsi="Arial"/>
          <w:b/>
          <w:bCs/>
          <w:color w:val="0B2545"/>
          <w:sz w:val="20"/>
          <w:szCs w:val="20"/>
        </w:rPr>
        <w:t xml:space="preserve">At a glance — what the field evidence is telling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FEB" w:sz="12"/>
              <w:left w:val="single" w:color="BFBFBF" w:sz="4"/>
              <w:bottom w:val="single" w:color="1F6FEB" w:sz="12"/>
              <w:right w:val="single" w:color="BFBFBF" w:sz="4"/>
            </w:tcBorders>
            <w:shd w:fill="FFFFFF" w:val="clear"/>
            <w:tcMar>
              <w:top w:type="dxa" w:w="200"/>
              <w:left w:type="dxa" w:w="160"/>
              <w:bottom w:type="dxa" w:w="200"/>
              <w:right w:type="dxa" w:w="160"/>
            </w:tcMar>
          </w:tcPr>
          <w:p>
            <w:pPr>
              <w:spacing w:after="60" w:before="0"/>
              <w:jc w:val="center"/>
            </w:pPr>
            <w:r>
              <w:rPr>
                <w:rFonts w:ascii="Arial" w:cs="Arial" w:eastAsia="Arial" w:hAnsi="Arial"/>
                <w:b/>
                <w:bCs/>
                <w:color w:val="1F6FEB"/>
                <w:sz w:val="44"/>
                <w:szCs w:val="44"/>
              </w:rPr>
              <w:t xml:space="preserve">13</w:t>
            </w:r>
          </w:p>
          <w:p>
            <w:pPr>
              <w:spacing w:after="0" w:before="0"/>
              <w:jc w:val="center"/>
            </w:pPr>
            <w:r>
              <w:rPr>
                <w:rFonts w:ascii="Arial" w:cs="Arial" w:eastAsia="Arial" w:hAnsi="Arial"/>
                <w:color w:val="595959"/>
                <w:sz w:val="18"/>
                <w:szCs w:val="18"/>
              </w:rPr>
              <w:t xml:space="preserve">Dimensions in BCP Plus</w:t>
            </w:r>
          </w:p>
        </w:tc>
        <w:tc>
          <w:tcPr>
            <w:tcW w:type="dxa" w:w="2340"/>
            <w:tcBorders>
              <w:top w:val="single" w:color="1F6FEB" w:sz="12"/>
              <w:left w:val="single" w:color="BFBFBF" w:sz="4"/>
              <w:bottom w:val="single" w:color="1F6FEB" w:sz="12"/>
              <w:right w:val="single" w:color="BFBFBF" w:sz="4"/>
            </w:tcBorders>
            <w:shd w:fill="FFFFFF" w:val="clear"/>
            <w:tcMar>
              <w:top w:type="dxa" w:w="200"/>
              <w:left w:type="dxa" w:w="160"/>
              <w:bottom w:type="dxa" w:w="200"/>
              <w:right w:type="dxa" w:w="160"/>
            </w:tcMar>
          </w:tcPr>
          <w:p>
            <w:pPr>
              <w:spacing w:after="60" w:before="0"/>
              <w:jc w:val="center"/>
            </w:pPr>
            <w:r>
              <w:rPr>
                <w:rFonts w:ascii="Arial" w:cs="Arial" w:eastAsia="Arial" w:hAnsi="Arial"/>
                <w:b/>
                <w:bCs/>
                <w:color w:val="1F6FEB"/>
                <w:sz w:val="44"/>
                <w:szCs w:val="44"/>
              </w:rPr>
              <w:t xml:space="preserve">83%</w:t>
            </w:r>
          </w:p>
          <w:p>
            <w:pPr>
              <w:spacing w:after="0" w:before="0"/>
              <w:jc w:val="center"/>
            </w:pPr>
            <w:r>
              <w:rPr>
                <w:rFonts w:ascii="Arial" w:cs="Arial" w:eastAsia="Arial" w:hAnsi="Arial"/>
                <w:color w:val="595959"/>
                <w:sz w:val="18"/>
                <w:szCs w:val="18"/>
              </w:rPr>
              <w:t xml:space="preserve">Open-source BCP counter accuracy</w:t>
            </w:r>
          </w:p>
        </w:tc>
        <w:tc>
          <w:tcPr>
            <w:tcW w:type="dxa" w:w="2340"/>
            <w:tcBorders>
              <w:top w:val="single" w:color="1F6FEB" w:sz="12"/>
              <w:left w:val="single" w:color="BFBFBF" w:sz="4"/>
              <w:bottom w:val="single" w:color="1F6FEB" w:sz="12"/>
              <w:right w:val="single" w:color="BFBFBF" w:sz="4"/>
            </w:tcBorders>
            <w:shd w:fill="FFFFFF" w:val="clear"/>
            <w:tcMar>
              <w:top w:type="dxa" w:w="200"/>
              <w:left w:type="dxa" w:w="160"/>
              <w:bottom w:type="dxa" w:w="200"/>
              <w:right w:type="dxa" w:w="160"/>
            </w:tcMar>
          </w:tcPr>
          <w:p>
            <w:pPr>
              <w:spacing w:after="60" w:before="0"/>
              <w:jc w:val="center"/>
            </w:pPr>
            <w:r>
              <w:rPr>
                <w:rFonts w:ascii="Arial" w:cs="Arial" w:eastAsia="Arial" w:hAnsi="Arial"/>
                <w:b/>
                <w:bCs/>
                <w:color w:val="1F6FEB"/>
                <w:sz w:val="44"/>
                <w:szCs w:val="44"/>
              </w:rPr>
              <w:t xml:space="preserve">19%</w:t>
            </w:r>
          </w:p>
          <w:p>
            <w:pPr>
              <w:spacing w:after="0" w:before="0"/>
              <w:jc w:val="center"/>
            </w:pPr>
            <w:r>
              <w:rPr>
                <w:rFonts w:ascii="Arial" w:cs="Arial" w:eastAsia="Arial" w:hAnsi="Arial"/>
                <w:color w:val="595959"/>
                <w:sz w:val="18"/>
                <w:szCs w:val="18"/>
              </w:rPr>
              <w:t xml:space="preserve">BCP Plus aggregate CV today</w:t>
            </w:r>
          </w:p>
        </w:tc>
        <w:tc>
          <w:tcPr>
            <w:tcW w:type="dxa" w:w="2340"/>
            <w:tcBorders>
              <w:top w:val="single" w:color="1F6FEB" w:sz="12"/>
              <w:left w:val="single" w:color="BFBFBF" w:sz="4"/>
              <w:bottom w:val="single" w:color="1F6FEB" w:sz="12"/>
              <w:right w:val="single" w:color="BFBFBF" w:sz="4"/>
            </w:tcBorders>
            <w:shd w:fill="FFFFFF" w:val="clear"/>
            <w:tcMar>
              <w:top w:type="dxa" w:w="200"/>
              <w:left w:type="dxa" w:w="160"/>
              <w:bottom w:type="dxa" w:w="200"/>
              <w:right w:type="dxa" w:w="160"/>
            </w:tcMar>
          </w:tcPr>
          <w:p>
            <w:pPr>
              <w:spacing w:after="60" w:before="0"/>
              <w:jc w:val="center"/>
            </w:pPr>
            <w:r>
              <w:rPr>
                <w:rFonts w:ascii="Arial" w:cs="Arial" w:eastAsia="Arial" w:hAnsi="Arial"/>
                <w:b/>
                <w:bCs/>
                <w:color w:val="1F6FEB"/>
                <w:sz w:val="44"/>
                <w:szCs w:val="44"/>
              </w:rPr>
              <w:t xml:space="preserve">~10%</w:t>
            </w:r>
          </w:p>
          <w:p>
            <w:pPr>
              <w:spacing w:after="0" w:before="0"/>
              <w:jc w:val="center"/>
            </w:pPr>
            <w:r>
              <w:rPr>
                <w:rFonts w:ascii="Arial" w:cs="Arial" w:eastAsia="Arial" w:hAnsi="Arial"/>
                <w:color w:val="595959"/>
                <w:sz w:val="18"/>
                <w:szCs w:val="18"/>
              </w:rPr>
              <w:t xml:space="preserve">Aggregate CV target</w:t>
            </w:r>
          </w:p>
        </w:tc>
      </w:tr>
    </w:tbl>
    <w:p>
      <w:pPr>
        <w:spacing w:after="200" w:before="80"/>
      </w:pPr>
      <w:r>
        <w:rPr>
          <w:rFonts w:ascii="Arial" w:cs="Arial" w:eastAsia="Arial" w:hAnsi="Arial"/>
          <w:i/>
          <w:iCs/>
          <w:color w:val="595959"/>
          <w:sz w:val="16"/>
          <w:szCs w:val="16"/>
        </w:rPr>
        <w:t xml:space="preserve">Source: CI&amp;T + Itaú Unibanco open-source announcement (21 May 2026); CI&amp;T internal Flow team stability evaluation (April 2026).</w:t>
      </w:r>
    </w:p>
    <w:p>
      <w:pPr>
        <w:spacing w:after="120" w:before="200" w:line="300"/>
        <w:jc w:val="both"/>
      </w:pPr>
      <w:r>
        <w:rPr>
          <w:rFonts w:ascii="Arial" w:cs="Arial" w:eastAsia="Arial" w:hAnsi="Arial"/>
          <w:b/>
          <w:bCs/>
          <w:sz w:val="22"/>
          <w:szCs w:val="22"/>
        </w:rPr>
        <w:t xml:space="preserve">Three takeaways for leaders.</w:t>
      </w:r>
    </w:p>
    <w:p>
      <w:pPr>
        <w:pStyle w:val="ListParagraph"/>
        <w:numPr>
          <w:ilvl w:val="0"/>
          <w:numId w:val="2"/>
        </w:numPr>
        <w:spacing w:after="40" w:before="40" w:line="280"/>
      </w:pPr>
      <w:r>
        <w:rPr>
          <w:rFonts w:ascii="Arial" w:cs="Arial" w:eastAsia="Arial" w:hAnsi="Arial"/>
          <w:sz w:val="22"/>
          <w:szCs w:val="22"/>
        </w:rPr>
        <w:t xml:space="preserve">Adopt BCP today, plan for BCP Plus tomorrow. The MIT-licensed release removes the legacy NC restriction, making BCP usable across commercial engagements. BCP Plus is the upgrade path.</w:t>
      </w:r>
    </w:p>
    <w:p>
      <w:pPr>
        <w:pStyle w:val="ListParagraph"/>
        <w:numPr>
          <w:ilvl w:val="0"/>
          <w:numId w:val="2"/>
        </w:numPr>
        <w:spacing w:after="40" w:before="40" w:line="280"/>
      </w:pPr>
      <w:r>
        <w:rPr>
          <w:rFonts w:ascii="Arial" w:cs="Arial" w:eastAsia="Arial" w:hAnsi="Arial"/>
          <w:sz w:val="22"/>
          <w:szCs w:val="22"/>
        </w:rPr>
        <w:t xml:space="preserve">Treat AI productivity claims with engineering rigour. The H/BCP ratio (delivery hours per BCP) is the cleanest available denominator for hybrid human–AI velocity comparisons.</w:t>
      </w:r>
    </w:p>
    <w:p>
      <w:pPr>
        <w:pStyle w:val="ListParagraph"/>
        <w:numPr>
          <w:ilvl w:val="0"/>
          <w:numId w:val="2"/>
        </w:numPr>
        <w:spacing w:after="40" w:before="40" w:line="280"/>
      </w:pPr>
      <w:r>
        <w:rPr>
          <w:rFonts w:ascii="Arial" w:cs="Arial" w:eastAsia="Arial" w:hAnsi="Arial"/>
          <w:sz w:val="22"/>
          <w:szCs w:val="22"/>
        </w:rPr>
        <w:t xml:space="preserve">Demand the confidence number, not just the score. The maturity-score CV of 2.1% means LLM-suggested counts are reliable when stories are mature, and demonstrably unreliable when they are not. Surface the score in your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6FEB" w:sz="24"/>
              <w:bottom w:val="none" w:sz="0"/>
              <w:right w:val="none" w:sz="0"/>
            </w:tcBorders>
            <w:shd w:fill="F4F7FB" w:val="clear"/>
            <w:tcMar>
              <w:top w:type="dxa" w:w="240"/>
              <w:left w:type="dxa" w:w="400"/>
              <w:bottom w:type="dxa" w:w="240"/>
              <w:right w:type="dxa" w:w="400"/>
            </w:tcMar>
          </w:tcPr>
          <w:p>
            <w:pPr>
              <w:spacing w:after="80" w:before="0" w:line="320"/>
            </w:pPr>
            <w:r>
              <w:rPr>
                <w:rFonts w:ascii="Arial" w:cs="Arial" w:eastAsia="Arial" w:hAnsi="Arial"/>
                <w:i/>
                <w:iCs/>
                <w:color w:val="0B2545"/>
                <w:sz w:val="26"/>
                <w:szCs w:val="26"/>
              </w:rPr>
              <w:t xml:space="preserve">“Estimation is no longer a project artefact. It is the denominator in every credible AI ROI conversation.”</w:t>
            </w:r>
          </w:p>
          <w:p>
            <w:pPr>
              <w:spacing w:after="0" w:before="80"/>
            </w:pPr>
            <w:r>
              <w:rPr>
                <w:rFonts w:ascii="Arial" w:cs="Arial" w:eastAsia="Arial" w:hAnsi="Arial"/>
                <w:color w:val="595959"/>
                <w:sz w:val="20"/>
                <w:szCs w:val="20"/>
              </w:rPr>
              <w:t xml:space="preserve">— Practitioner observation, banking-sector engagement</w:t>
            </w:r>
          </w:p>
        </w:tc>
      </w:tr>
    </w:tbl>
    <w:p>
      <w:r>
        <w:br w:type="page"/>
      </w:r>
    </w:p>
    <w:p>
      <w:pPr>
        <w:spacing w:after="80" w:before="320"/>
        <w:jc w:val="left"/>
      </w:pPr>
      <w:r>
        <w:rPr>
          <w:rFonts w:ascii="Arial" w:cs="Arial" w:eastAsia="Arial" w:hAnsi="Arial"/>
          <w:b/>
          <w:bCs/>
          <w:color w:val="1F6FEB"/>
          <w:sz w:val="24"/>
          <w:szCs w:val="24"/>
        </w:rPr>
        <w:t xml:space="preserve">02 · </w:t>
      </w:r>
      <w:r>
        <w:rPr>
          <w:rFonts w:ascii="Arial" w:cs="Arial" w:eastAsia="Arial" w:hAnsi="Arial"/>
          <w:b/>
          <w:bCs/>
          <w:color w:val="0B2545"/>
          <w:sz w:val="24"/>
          <w:szCs w:val="24"/>
        </w:rPr>
        <w:t xml:space="preserve">The challenge — why software sizing breaks at enterprise scale</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Three pressures have collided in the past 24 months and now define the executive context for software estimation.</w:t>
      </w:r>
    </w:p>
    <w:p>
      <w:pPr>
        <w:pStyle w:val="Heading3"/>
        <w:spacing w:after="120" w:before="220"/>
      </w:pPr>
      <w:r>
        <w:rPr>
          <w:rFonts w:ascii="Arial" w:cs="Arial" w:eastAsia="Arial" w:hAnsi="Arial"/>
          <w:b/>
          <w:bCs/>
          <w:color w:val="212121"/>
          <w:sz w:val="23"/>
          <w:szCs w:val="23"/>
        </w:rPr>
        <w:t xml:space="preserve">Pressure 1 — The unit problem</w:t>
      </w:r>
    </w:p>
    <w:p>
      <w:pPr>
        <w:spacing w:after="120" w:before="80" w:line="300"/>
        <w:jc w:val="both"/>
      </w:pPr>
      <w:r>
        <w:rPr>
          <w:rFonts w:ascii="Arial" w:cs="Arial" w:eastAsia="Arial" w:hAnsi="Arial"/>
          <w:sz w:val="22"/>
          <w:szCs w:val="22"/>
        </w:rPr>
        <w:t xml:space="preserve">Story points were never a unit of measurement. They were an internal team heuristic that aggregated effort, complexity, and uncertainty. When organisations attempted to roll them up to portfolio level, the result was not a normalised number; it was the average of forty differently-calibrated guesses. Cross-team benchmarking failed for arithmetic reasons.</w:t>
      </w:r>
    </w:p>
    <w:p>
      <w:pPr>
        <w:pStyle w:val="Heading3"/>
        <w:spacing w:after="120" w:before="220"/>
      </w:pPr>
      <w:r>
        <w:rPr>
          <w:rFonts w:ascii="Arial" w:cs="Arial" w:eastAsia="Arial" w:hAnsi="Arial"/>
          <w:b/>
          <w:bCs/>
          <w:color w:val="212121"/>
          <w:sz w:val="23"/>
          <w:szCs w:val="23"/>
        </w:rPr>
        <w:t xml:space="preserve">Pressure 2 — The non-functional gap</w:t>
      </w:r>
    </w:p>
    <w:p>
      <w:pPr>
        <w:spacing w:after="120" w:before="80" w:line="300"/>
        <w:jc w:val="both"/>
      </w:pPr>
      <w:r>
        <w:rPr>
          <w:rFonts w:ascii="Arial" w:cs="Arial" w:eastAsia="Arial" w:hAnsi="Arial"/>
          <w:sz w:val="22"/>
          <w:szCs w:val="22"/>
        </w:rPr>
        <w:t xml:space="preserve">In regulated industries, between 20% and 40% of programme effort is consumed by non-functional work — performance engineering, security and compliance, accessibility — that classical agile estimation neither measures nor surfaces. The result is an estimating practice that is systematically optimistic in precisely those programmes where optimism is most expensive.</w:t>
      </w:r>
    </w:p>
    <w:p>
      <w:pPr>
        <w:pStyle w:val="Heading3"/>
        <w:spacing w:after="120" w:before="220"/>
      </w:pPr>
      <w:r>
        <w:rPr>
          <w:rFonts w:ascii="Arial" w:cs="Arial" w:eastAsia="Arial" w:hAnsi="Arial"/>
          <w:b/>
          <w:bCs/>
          <w:color w:val="212121"/>
          <w:sz w:val="23"/>
          <w:szCs w:val="23"/>
        </w:rPr>
        <w:t xml:space="preserve">Pressure 3 — The AI denominator</w:t>
      </w:r>
    </w:p>
    <w:p>
      <w:pPr>
        <w:spacing w:after="120" w:before="80" w:line="300"/>
        <w:jc w:val="both"/>
      </w:pPr>
      <w:r>
        <w:rPr>
          <w:rFonts w:ascii="Arial" w:cs="Arial" w:eastAsia="Arial" w:hAnsi="Arial"/>
          <w:sz w:val="22"/>
          <w:szCs w:val="22"/>
        </w:rPr>
        <w:t xml:space="preserve">Generative AI is changing how code is produced faster than estimation practice is changing how code is measured. Executives are asked to validate AI productivity claims against a denominator — velocity — whose noise floor frequently exceeds the magnitude of the effect being measured. Without a normalised complexity unit, the value case for AI cannot be defended.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1F6FEB" w:sz="6"/>
              <w:bottom w:val="single" w:color="1F6FEB" w:sz="6"/>
              <w:right w:val="single" w:color="1F6FEB" w:sz="6"/>
            </w:tcBorders>
            <w:shd w:fill="EEF3FA" w:val="clear"/>
            <w:tcMar>
              <w:top w:type="dxa" w:w="240"/>
              <w:left w:type="dxa" w:w="320"/>
              <w:bottom w:type="dxa" w:w="240"/>
              <w:right w:type="dxa" w:w="320"/>
            </w:tcMar>
          </w:tcPr>
          <w:p>
            <w:pPr>
              <w:spacing w:after="120" w:before="0"/>
            </w:pPr>
            <w:r>
              <w:rPr>
                <w:rFonts w:ascii="Arial" w:cs="Arial" w:eastAsia="Arial" w:hAnsi="Arial"/>
                <w:b/>
                <w:bCs/>
                <w:color w:val="0B2545"/>
                <w:sz w:val="24"/>
                <w:szCs w:val="24"/>
              </w:rPr>
              <w:t xml:space="preserve">Why this matters</w:t>
            </w:r>
          </w:p>
          <w:p>
            <w:pPr>
              <w:pStyle w:val="ListParagraph"/>
              <w:numPr>
                <w:ilvl w:val="0"/>
                <w:numId w:val="3"/>
              </w:numPr>
              <w:spacing w:after="40" w:before="40" w:line="280"/>
            </w:pPr>
            <w:r>
              <w:rPr>
                <w:rFonts w:ascii="Arial" w:cs="Arial" w:eastAsia="Arial" w:hAnsi="Arial"/>
                <w:sz w:val="22"/>
                <w:szCs w:val="22"/>
              </w:rPr>
              <w:t xml:space="preserve">Capital allocation accuracy: programme-level financial commitments depend on velocity figures whose underlying unit is undefined.</w:t>
            </w:r>
          </w:p>
          <w:p>
            <w:pPr>
              <w:pStyle w:val="ListParagraph"/>
              <w:numPr>
                <w:ilvl w:val="0"/>
                <w:numId w:val="3"/>
              </w:numPr>
              <w:spacing w:after="40" w:before="40" w:line="280"/>
            </w:pPr>
            <w:r>
              <w:rPr>
                <w:rFonts w:ascii="Arial" w:cs="Arial" w:eastAsia="Arial" w:hAnsi="Arial"/>
                <w:sz w:val="22"/>
                <w:szCs w:val="22"/>
              </w:rPr>
              <w:t xml:space="preserve">Vendor governance: outsourced and managed-services arrangements priced in story points are not auditable.</w:t>
            </w:r>
          </w:p>
          <w:p>
            <w:pPr>
              <w:pStyle w:val="ListParagraph"/>
              <w:numPr>
                <w:ilvl w:val="0"/>
                <w:numId w:val="3"/>
              </w:numPr>
              <w:spacing w:after="40" w:before="40" w:line="280"/>
            </w:pPr>
            <w:r>
              <w:rPr>
                <w:rFonts w:ascii="Arial" w:cs="Arial" w:eastAsia="Arial" w:hAnsi="Arial"/>
                <w:sz w:val="22"/>
                <w:szCs w:val="22"/>
              </w:rPr>
              <w:t xml:space="preserve">AI ROI defensibility: gains from coding assistants cannot be defended without a denominator the organisation trusts.</w:t>
            </w:r>
          </w:p>
          <w:p>
            <w:pPr>
              <w:pStyle w:val="ListParagraph"/>
              <w:numPr>
                <w:ilvl w:val="0"/>
                <w:numId w:val="3"/>
              </w:numPr>
              <w:spacing w:after="40" w:before="40" w:line="280"/>
            </w:pPr>
            <w:r>
              <w:rPr>
                <w:rFonts w:ascii="Arial" w:cs="Arial" w:eastAsia="Arial" w:hAnsi="Arial"/>
                <w:sz w:val="22"/>
                <w:szCs w:val="22"/>
              </w:rPr>
              <w:t xml:space="preserve">Regulatory readiness: prudential supervisors are beginning to ask financial institutions to justify the productivity assumptions inside their technology business cases.</w:t>
            </w:r>
          </w:p>
        </w:tc>
      </w:tr>
    </w:tbl>
    <w:p>
      <w:r>
        <w:br w:type="page"/>
      </w:r>
    </w:p>
    <w:p>
      <w:pPr>
        <w:spacing w:after="80" w:before="320"/>
        <w:jc w:val="left"/>
      </w:pPr>
      <w:r>
        <w:rPr>
          <w:rFonts w:ascii="Arial" w:cs="Arial" w:eastAsia="Arial" w:hAnsi="Arial"/>
          <w:b/>
          <w:bCs/>
          <w:color w:val="1F6FEB"/>
          <w:sz w:val="24"/>
          <w:szCs w:val="24"/>
        </w:rPr>
        <w:t xml:space="preserve">03 · </w:t>
      </w:r>
      <w:r>
        <w:rPr>
          <w:rFonts w:ascii="Arial" w:cs="Arial" w:eastAsia="Arial" w:hAnsi="Arial"/>
          <w:b/>
          <w:bCs/>
          <w:color w:val="0B2545"/>
          <w:sz w:val="24"/>
          <w:szCs w:val="24"/>
        </w:rPr>
        <w:t xml:space="preserve">Our point of view — from BCP to BCP Plus</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Our position is that the answer is not yet another estimation scale. The answer is a complexity unit that can be defended in front of an auditor, a regulator, or a board.</w:t>
      </w:r>
    </w:p>
    <w:p>
      <w:pPr>
        <w:pStyle w:val="Heading3"/>
        <w:spacing w:after="120" w:before="220"/>
      </w:pPr>
      <w:r>
        <w:rPr>
          <w:rFonts w:ascii="Arial" w:cs="Arial" w:eastAsia="Arial" w:hAnsi="Arial"/>
          <w:b/>
          <w:bCs/>
          <w:color w:val="212121"/>
          <w:sz w:val="23"/>
          <w:szCs w:val="23"/>
        </w:rPr>
        <w:t xml:space="preserve">The 2015 origin: Business Complexity Points</w:t>
      </w:r>
    </w:p>
    <w:p>
      <w:pPr>
        <w:spacing w:after="120" w:before="80" w:line="300"/>
        <w:jc w:val="both"/>
      </w:pPr>
      <w:r>
        <w:rPr>
          <w:rFonts w:ascii="Arial" w:cs="Arial" w:eastAsia="Arial" w:hAnsi="Arial"/>
          <w:sz w:val="22"/>
          <w:szCs w:val="22"/>
        </w:rPr>
        <w:t xml:space="preserve">CI&amp;T introduced Business Complexity Points (BCP) in 2015 to provide an objective measurement of software complexity through a business lens. The framework decomposes a backlog item into ten orthogonal dimensions — business rules, interface elements, roles, variabilities, boundaries, entities, new entities, background processes, notifications, and audits — and scores each on a Fibonacci scale (XS = 1, S = 2, M = 3, L = 5, XL = 8). The total BCP is the sum.</w:t>
      </w:r>
    </w:p>
    <w:p>
      <w:pPr>
        <w:pStyle w:val="Heading3"/>
        <w:spacing w:after="120" w:before="220"/>
      </w:pPr>
      <w:r>
        <w:rPr>
          <w:rFonts w:ascii="Arial" w:cs="Arial" w:eastAsia="Arial" w:hAnsi="Arial"/>
          <w:b/>
          <w:bCs/>
          <w:color w:val="212121"/>
          <w:sz w:val="23"/>
          <w:szCs w:val="23"/>
        </w:rPr>
        <w:t xml:space="preserve">The 2018–2025 industrialisation</w:t>
      </w:r>
    </w:p>
    <w:p>
      <w:pPr>
        <w:spacing w:after="120" w:before="80" w:line="300"/>
        <w:jc w:val="both"/>
      </w:pPr>
      <w:r>
        <w:rPr>
          <w:rFonts w:ascii="Arial" w:cs="Arial" w:eastAsia="Arial" w:hAnsi="Arial"/>
          <w:sz w:val="22"/>
          <w:szCs w:val="22"/>
        </w:rPr>
        <w:t xml:space="preserve">Itaú Unibanco adopted BCP in 2018 and scaled it across its engineering organisation over the following seven years. The metric became the foundation of the bank's productivity reporting and capacity planning, and was later instrumented with an LLM-based simplified counter that reads story title, description, and acceptance criteria.</w:t>
      </w:r>
    </w:p>
    <w:p>
      <w:pPr>
        <w:pStyle w:val="Heading3"/>
        <w:spacing w:after="120" w:before="220"/>
      </w:pPr>
      <w:r>
        <w:rPr>
          <w:rFonts w:ascii="Arial" w:cs="Arial" w:eastAsia="Arial" w:hAnsi="Arial"/>
          <w:b/>
          <w:bCs/>
          <w:color w:val="212121"/>
          <w:sz w:val="23"/>
          <w:szCs w:val="23"/>
        </w:rPr>
        <w:t xml:space="preserve">The May 2026 open-source release</w:t>
      </w:r>
    </w:p>
    <w:p>
      <w:pPr>
        <w:spacing w:after="120" w:before="80" w:line="300"/>
        <w:jc w:val="both"/>
      </w:pPr>
      <w:r>
        <w:rPr>
          <w:rFonts w:ascii="Arial" w:cs="Arial" w:eastAsia="Arial" w:hAnsi="Arial"/>
          <w:sz w:val="22"/>
          <w:szCs w:val="22"/>
        </w:rPr>
        <w:t xml:space="preserve">CI&amp;T and Itaú jointly released BCP under the MIT License on 21 May 2026. The release covers the 10-dimension methodology plus the production-grade simplified counter. Reported outcomes from Itaú's deployment include 83% LLM classification accuracy, a 10% reduction in counting variance per story, and a 100% rollout across eligible technology squads in 2025.</w:t>
      </w:r>
    </w:p>
    <w:p>
      <w:pPr>
        <w:pStyle w:val="Heading3"/>
        <w:spacing w:after="120" w:before="220"/>
      </w:pPr>
      <w:r>
        <w:rPr>
          <w:rFonts w:ascii="Arial" w:cs="Arial" w:eastAsia="Arial" w:hAnsi="Arial"/>
          <w:b/>
          <w:bCs/>
          <w:color w:val="212121"/>
          <w:sz w:val="23"/>
          <w:szCs w:val="23"/>
        </w:rPr>
        <w:t xml:space="preserve">Why BCP Plus, and why now</w:t>
      </w:r>
    </w:p>
    <w:p>
      <w:pPr>
        <w:spacing w:after="120" w:before="80" w:line="300"/>
        <w:jc w:val="both"/>
      </w:pPr>
      <w:r>
        <w:rPr>
          <w:rFonts w:ascii="Arial" w:cs="Arial" w:eastAsia="Arial" w:hAnsi="Arial"/>
          <w:sz w:val="22"/>
          <w:szCs w:val="22"/>
        </w:rPr>
        <w:t xml:space="preserve">BCP Plus extends the open-sourced framework with three explicit non-functional dimensions and a per-dimension prompt architecture for the AI counter. Three motivations drove the work:</w:t>
      </w:r>
    </w:p>
    <w:p>
      <w:pPr>
        <w:pStyle w:val="ListParagraph"/>
        <w:numPr>
          <w:ilvl w:val="0"/>
          <w:numId w:val="3"/>
        </w:numPr>
        <w:spacing w:after="40" w:before="40" w:line="280"/>
      </w:pPr>
      <w:r>
        <w:rPr>
          <w:rFonts w:ascii="Arial" w:cs="Arial" w:eastAsia="Arial" w:hAnsi="Arial"/>
          <w:sz w:val="22"/>
          <w:szCs w:val="22"/>
        </w:rPr>
        <w:t xml:space="preserve">Non-functional requirements drive enterprise cost. In regulated industries, ignoring them in the estimate causes systematic underestimation.</w:t>
      </w:r>
    </w:p>
    <w:p>
      <w:pPr>
        <w:pStyle w:val="ListParagraph"/>
        <w:numPr>
          <w:ilvl w:val="0"/>
          <w:numId w:val="3"/>
        </w:numPr>
        <w:spacing w:after="40" w:before="40" w:line="280"/>
      </w:pPr>
      <w:r>
        <w:rPr>
          <w:rFonts w:ascii="Arial" w:cs="Arial" w:eastAsia="Arial" w:hAnsi="Arial"/>
          <w:sz w:val="22"/>
          <w:szCs w:val="22"/>
        </w:rPr>
        <w:t xml:space="preserve">Hybrid teams need a finer instrument. Per-dimension prompts isolate the cognitive sub-tasks of estimation, increasing interpretability of LLM output.</w:t>
      </w:r>
    </w:p>
    <w:p>
      <w:pPr>
        <w:pStyle w:val="ListParagraph"/>
        <w:numPr>
          <w:ilvl w:val="0"/>
          <w:numId w:val="3"/>
        </w:numPr>
        <w:spacing w:after="40" w:before="40" w:line="280"/>
      </w:pPr>
      <w:r>
        <w:rPr>
          <w:rFonts w:ascii="Arial" w:cs="Arial" w:eastAsia="Arial" w:hAnsi="Arial"/>
          <w:sz w:val="22"/>
          <w:szCs w:val="22"/>
        </w:rPr>
        <w:t xml:space="preserve">Convergence with IFPUG. BCP Plus's 13 dimensions map cleanly onto SNAP's 14 subcategories without requiring SNAP certification — an important consideration for organisations migrating off IFPUG.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6FEB" w:sz="24"/>
              <w:bottom w:val="none" w:sz="0"/>
              <w:right w:val="none" w:sz="0"/>
            </w:tcBorders>
            <w:shd w:fill="F4F7FB" w:val="clear"/>
            <w:tcMar>
              <w:top w:type="dxa" w:w="240"/>
              <w:left w:type="dxa" w:w="400"/>
              <w:bottom w:type="dxa" w:w="240"/>
              <w:right w:type="dxa" w:w="400"/>
            </w:tcMar>
          </w:tcPr>
          <w:p>
            <w:pPr>
              <w:spacing w:after="80" w:before="0" w:line="320"/>
            </w:pPr>
            <w:r>
              <w:rPr>
                <w:rFonts w:ascii="Arial" w:cs="Arial" w:eastAsia="Arial" w:hAnsi="Arial"/>
                <w:i/>
                <w:iCs/>
                <w:color w:val="0B2545"/>
                <w:sz w:val="26"/>
                <w:szCs w:val="26"/>
              </w:rPr>
              <w:t xml:space="preserve">“BCP made business complexity measurable. BCP Plus makes non-functional complexity measurable. Together they make AI-augmented velocity defensible.”</w:t>
            </w:r>
          </w:p>
          <w:p>
            <w:pPr>
              <w:spacing w:after="0" w:before="80"/>
            </w:pPr>
            <w:r>
              <w:rPr>
                <w:rFonts w:ascii="Arial" w:cs="Arial" w:eastAsia="Arial" w:hAnsi="Arial"/>
                <w:color w:val="595959"/>
                <w:sz w:val="20"/>
                <w:szCs w:val="20"/>
              </w:rPr>
              <w:t xml:space="preserve">— Working paper position</w:t>
            </w:r>
          </w:p>
        </w:tc>
      </w:tr>
    </w:tbl>
    <w:p>
      <w:r>
        <w:br w:type="page"/>
      </w:r>
    </w:p>
    <w:p>
      <w:pPr>
        <w:spacing w:after="80" w:before="320"/>
        <w:jc w:val="left"/>
      </w:pPr>
      <w:r>
        <w:rPr>
          <w:rFonts w:ascii="Arial" w:cs="Arial" w:eastAsia="Arial" w:hAnsi="Arial"/>
          <w:b/>
          <w:bCs/>
          <w:color w:val="1F6FEB"/>
          <w:sz w:val="24"/>
          <w:szCs w:val="24"/>
        </w:rPr>
        <w:t xml:space="preserve">04 · </w:t>
      </w:r>
      <w:r>
        <w:rPr>
          <w:rFonts w:ascii="Arial" w:cs="Arial" w:eastAsia="Arial" w:hAnsi="Arial"/>
          <w:b/>
          <w:bCs/>
          <w:color w:val="0B2545"/>
          <w:sz w:val="24"/>
          <w:szCs w:val="24"/>
        </w:rPr>
        <w:t xml:space="preserve">Inside the methodology — the thirteen dimensions</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BCP Plus scores a backlog item as the sum of Fibonacci-weighted contributions across thirteen orthogonal dimensions. Sizes are XS = 1, S = 2, M = 3, L = 5, XL = 8. Dimensions may be omitted (effectively zero) when they do not apply. The first ten dimensions are functional and were inherited unchanged from the open-sourced BCP; dimensions 11–13 are the non-functional additions that distinguish BCP Plus.</w:t>
      </w:r>
    </w:p>
    <w:p>
      <w:pPr>
        <w:spacing w:after="80" w:before="240"/>
      </w:pPr>
      <w:r>
        <w:rPr>
          <w:rFonts w:ascii="Arial" w:cs="Arial" w:eastAsia="Arial" w:hAnsi="Arial"/>
          <w:b/>
          <w:bCs/>
          <w:color w:val="1F6FEB"/>
          <w:sz w:val="20"/>
          <w:szCs w:val="20"/>
        </w:rPr>
        <w:t xml:space="preserve">Exhibit 2. </w:t>
      </w:r>
      <w:r>
        <w:rPr>
          <w:rFonts w:ascii="Arial" w:cs="Arial" w:eastAsia="Arial" w:hAnsi="Arial"/>
          <w:b/>
          <w:bCs/>
          <w:color w:val="0B2545"/>
          <w:sz w:val="20"/>
          <w:szCs w:val="20"/>
        </w:rPr>
        <w:t xml:space="preserve">The ten functional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tblHeader/>
        </w:trPr>
        <w:tc>
          <w:tcPr>
            <w:tcW w:type="dxa" w:w="8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w:t>
            </w:r>
          </w:p>
        </w:tc>
        <w:tc>
          <w:tcPr>
            <w:tcW w:type="dxa" w:w="29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Dimension</w:t>
            </w:r>
          </w:p>
        </w:tc>
        <w:tc>
          <w:tcPr>
            <w:tcW w:type="dxa" w:w="56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Sizing summary</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Business Rules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XS (1) single-step validations; S (2) linear sequence; M (3) few phases / few decisions; L (5) multiple phases and decisions; XL (8) many phases and/or decisions.</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Interface Elements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 (2) up to 5 static in existing context; M (3) up to 5 static in new context; L (5) up to 5 dynamic in existing context; XL (8) up to 5 dynamic in new context.</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Roles / Permissions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 (2) same permissions for all users; M (3) roles at same depth; L (5) roles across two or more depth levels.</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Solution Variabilities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 (2) single solution; M (3) minor parametric variation; XL (8) solution varies significantly with the parameter.</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Boundaries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XS (1) self-contained; M (3) physical device; L (5) remote service / perennial data; XL (8) remote service / ethereal data.</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Domain Entities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XS (1) 1 entity; S (2) 2–3; M (3) 4–5; L (5) 6–7; XL (8) more than 7.</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7</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New Domain Entities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 (3) new attributes / relationships on up to 3 existing entities; L (5) up to 3 new entities.</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Background Processes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 (3) event-driven; L (5) scheduled; XL (8) manually triggered or external independent process.</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Notifications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XS (1) per notification type and event.</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10</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Audits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XS (1) per entity audited.</w:t>
            </w:r>
          </w:p>
        </w:tc>
      </w:tr>
    </w:tbl>
    <w:p>
      <w:pPr>
        <w:spacing w:after="200" w:before="80"/>
      </w:pPr>
      <w:r>
        <w:rPr>
          <w:rFonts w:ascii="Arial" w:cs="Arial" w:eastAsia="Arial" w:hAnsi="Arial"/>
          <w:i/>
          <w:iCs/>
          <w:color w:val="595959"/>
          <w:sz w:val="16"/>
          <w:szCs w:val="16"/>
        </w:rPr>
        <w:t xml:space="preserve">Source: CI&amp;T BCP methodology (2015, open-sourced May 2026 under the MIT License).</w:t>
      </w:r>
    </w:p>
    <w:p>
      <w:pPr>
        <w:pStyle w:val="Heading3"/>
        <w:spacing w:after="120" w:before="220"/>
      </w:pPr>
      <w:r>
        <w:rPr>
          <w:rFonts w:ascii="Arial" w:cs="Arial" w:eastAsia="Arial" w:hAnsi="Arial"/>
          <w:b/>
          <w:bCs/>
          <w:color w:val="212121"/>
          <w:sz w:val="23"/>
          <w:szCs w:val="23"/>
        </w:rPr>
        <w:t xml:space="preserve">The three non-functional dimensions — what makes BCP Plus different</w:t>
      </w:r>
    </w:p>
    <w:p>
      <w:pPr>
        <w:spacing w:after="120" w:before="80" w:line="300"/>
        <w:jc w:val="both"/>
      </w:pPr>
      <w:r>
        <w:rPr>
          <w:rFonts w:ascii="Arial" w:cs="Arial" w:eastAsia="Arial" w:hAnsi="Arial"/>
          <w:sz w:val="22"/>
          <w:szCs w:val="22"/>
        </w:rPr>
        <w:t xml:space="preserve">The three non-functional dimensions capture work that, under the open-sourced BCP, sits hidden inside engineering effort and therefore evades planning, governance, and capital allocation. Each dimension is gated by a clear </w:t>
      </w:r>
      <w:r>
        <w:rPr>
          <w:rFonts w:ascii="Arial" w:cs="Arial" w:eastAsia="Arial" w:hAnsi="Arial"/>
          <w:i/>
          <w:iCs/>
          <w:sz w:val="22"/>
          <w:szCs w:val="22"/>
        </w:rPr>
        <w:t xml:space="preserve">when-to-apply</w:t>
      </w:r>
      <w:r>
        <w:rPr>
          <w:rFonts w:ascii="Arial" w:cs="Arial" w:eastAsia="Arial" w:hAnsi="Arial"/>
          <w:sz w:val="22"/>
          <w:szCs w:val="22"/>
        </w:rPr>
        <w:t xml:space="preserve"> condition: only requirements that exceed standard expectations contribute, preventing inflation.</w:t>
      </w:r>
    </w:p>
    <w:p>
      <w:pPr>
        <w:spacing w:after="80" w:before="240"/>
      </w:pPr>
      <w:r>
        <w:rPr>
          <w:rFonts w:ascii="Arial" w:cs="Arial" w:eastAsia="Arial" w:hAnsi="Arial"/>
          <w:b/>
          <w:bCs/>
          <w:color w:val="1F6FEB"/>
          <w:sz w:val="20"/>
          <w:szCs w:val="20"/>
        </w:rPr>
        <w:t xml:space="preserve">Exhibit 3. </w:t>
      </w:r>
      <w:r>
        <w:rPr>
          <w:rFonts w:ascii="Arial" w:cs="Arial" w:eastAsia="Arial" w:hAnsi="Arial"/>
          <w:b/>
          <w:bCs/>
          <w:color w:val="0B2545"/>
          <w:sz w:val="20"/>
          <w:szCs w:val="20"/>
        </w:rPr>
        <w:t xml:space="preserve">The three non-functional dimensions added by BCP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tblHeader/>
        </w:trPr>
        <w:tc>
          <w:tcPr>
            <w:tcW w:type="dxa" w:w="8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w:t>
            </w:r>
          </w:p>
        </w:tc>
        <w:tc>
          <w:tcPr>
            <w:tcW w:type="dxa" w:w="29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Dimension</w:t>
            </w:r>
          </w:p>
        </w:tc>
        <w:tc>
          <w:tcPr>
            <w:tcW w:type="dxa" w:w="56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Sizing summary</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11</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Quality Attributes</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Performance, reliability, scalability, availability. XS (1) standard, ~3 s response, 99% uptime; S (2) &lt;1 s, 99.5%; M (3) &lt;500 ms, 99.9%, distributed tracing; L (5) &lt;200 ms, 99.95%, chaos engineering; XL (8) &lt;100 ms, 99.99%+, multi-region active-active.</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12</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Security &amp; Compliance</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Controls and regulatory obligations. XS (1) HTTPS + hashing; S (2) RBAC + session management; M (3) MFA, OAuth/OIDC, LGPD/GDPR; L (5) PKI, ABAC, SAST/DAST, HIPAA/SOX/PCI-DSS; XL (8) HSM, zero-trust, SOC integration, PCI-DSS L1, FedRAMP.</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UX &amp; Accessibility</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Usability, accessibility, i18n. XS (1) standard internal tool; S (2) keyboard nav, semantic HTML; M (3) PWA, WCAG 2.0 A, single additional language; L (5) WCAG 2.1 AA, RTL, 3–5 languages; XL (8) WCAG 2.1 AAA, 10+ languages, voice/gesture, AI personalisation.</w:t>
            </w:r>
          </w:p>
        </w:tc>
      </w:tr>
    </w:tbl>
    <w:p>
      <w:pPr>
        <w:spacing w:after="200" w:before="80"/>
      </w:pPr>
      <w:r>
        <w:rPr>
          <w:rFonts w:ascii="Arial" w:cs="Arial" w:eastAsia="Arial" w:hAnsi="Arial"/>
          <w:i/>
          <w:iCs/>
          <w:color w:val="595959"/>
          <w:sz w:val="16"/>
          <w:szCs w:val="16"/>
        </w:rPr>
        <w:t xml:space="preserve">Source: CI&amp;T BCP Plus methodology, internal definition (2025–2026).</w:t>
      </w:r>
    </w:p>
    <w:p>
      <w:pPr>
        <w:pStyle w:val="Heading3"/>
        <w:spacing w:after="120" w:before="220"/>
      </w:pPr>
      <w:r>
        <w:rPr>
          <w:rFonts w:ascii="Arial" w:cs="Arial" w:eastAsia="Arial" w:hAnsi="Arial"/>
          <w:b/>
          <w:bCs/>
          <w:color w:val="212121"/>
          <w:sz w:val="23"/>
          <w:szCs w:val="23"/>
        </w:rPr>
        <w:t xml:space="preserve">The estimation procedure</w:t>
      </w:r>
    </w:p>
    <w:p>
      <w:pPr>
        <w:spacing w:after="120" w:before="80" w:line="300"/>
        <w:jc w:val="both"/>
      </w:pPr>
      <w:r>
        <w:rPr>
          <w:rFonts w:ascii="Arial" w:cs="Arial" w:eastAsia="Arial" w:hAnsi="Arial"/>
          <w:sz w:val="22"/>
          <w:szCs w:val="22"/>
        </w:rPr>
        <w:t xml:space="preserve">BCP Plus uses a deterministic walk over the thirteen dimensions:</w:t>
      </w:r>
    </w:p>
    <w:p>
      <w:pPr>
        <w:pStyle w:val="ListParagraph"/>
        <w:numPr>
          <w:ilvl w:val="0"/>
          <w:numId w:val="2"/>
        </w:numPr>
        <w:spacing w:after="40" w:before="40" w:line="280"/>
      </w:pPr>
      <w:r>
        <w:rPr>
          <w:rFonts w:ascii="Arial" w:cs="Arial" w:eastAsia="Arial" w:hAnsi="Arial"/>
          <w:sz w:val="22"/>
          <w:szCs w:val="22"/>
        </w:rPr>
        <w:t xml:space="preserve">Walk dimensions 1–10 in order; assign sizes where applicable. Functional BCP = the sum.</w:t>
      </w:r>
    </w:p>
    <w:p>
      <w:pPr>
        <w:pStyle w:val="ListParagraph"/>
        <w:numPr>
          <w:ilvl w:val="0"/>
          <w:numId w:val="2"/>
        </w:numPr>
        <w:spacing w:after="40" w:before="40" w:line="280"/>
      </w:pPr>
      <w:r>
        <w:rPr>
          <w:rFonts w:ascii="Arial" w:cs="Arial" w:eastAsia="Arial" w:hAnsi="Arial"/>
          <w:sz w:val="22"/>
          <w:szCs w:val="22"/>
        </w:rPr>
        <w:t xml:space="preserve">Walk dimensions 11–13 in order; assign sizes only when requirements exceed standard expectations. NFR BCP = the sum of D11 + D12 + D13.</w:t>
      </w:r>
    </w:p>
    <w:p>
      <w:pPr>
        <w:pStyle w:val="ListParagraph"/>
        <w:numPr>
          <w:ilvl w:val="0"/>
          <w:numId w:val="2"/>
        </w:numPr>
        <w:spacing w:after="40" w:before="40" w:line="280"/>
      </w:pPr>
      <w:r>
        <w:rPr>
          <w:rFonts w:ascii="Arial" w:cs="Arial" w:eastAsia="Arial" w:hAnsi="Arial"/>
          <w:sz w:val="22"/>
          <w:szCs w:val="22"/>
        </w:rPr>
        <w:t xml:space="preserve">Total BCP Plus = Functional BCP + NFR BCP.</w:t>
      </w:r>
    </w:p>
    <w:p>
      <w:pPr>
        <w:pStyle w:val="ListParagraph"/>
        <w:numPr>
          <w:ilvl w:val="0"/>
          <w:numId w:val="2"/>
        </w:numPr>
        <w:spacing w:after="40" w:before="40" w:line="280"/>
      </w:pPr>
      <w:r>
        <w:rPr>
          <w:rFonts w:ascii="Arial" w:cs="Arial" w:eastAsia="Arial" w:hAnsi="Arial"/>
          <w:sz w:val="22"/>
          <w:szCs w:val="22"/>
        </w:rPr>
        <w:t xml:space="preserve">NFR Ratio = (NFR BCP / Total BCP Plus) × 100%. Use as an early indicator: 0–15% primarily functional; 15–30% balanced; 30–50% NFR-heavy (architectural spike recommended); &gt;50% extreme (architectural review required).</w:t>
      </w:r>
    </w:p>
    <w:p>
      <w:r>
        <w:br w:type="page"/>
      </w:r>
    </w:p>
    <w:p>
      <w:pPr>
        <w:spacing w:after="80" w:before="320"/>
        <w:jc w:val="left"/>
      </w:pPr>
      <w:r>
        <w:rPr>
          <w:rFonts w:ascii="Arial" w:cs="Arial" w:eastAsia="Arial" w:hAnsi="Arial"/>
          <w:b/>
          <w:bCs/>
          <w:color w:val="1F6FEB"/>
          <w:sz w:val="24"/>
          <w:szCs w:val="24"/>
        </w:rPr>
        <w:t xml:space="preserve">05 · </w:t>
      </w:r>
      <w:r>
        <w:rPr>
          <w:rFonts w:ascii="Arial" w:cs="Arial" w:eastAsia="Arial" w:hAnsi="Arial"/>
          <w:b/>
          <w:bCs/>
          <w:color w:val="0B2545"/>
          <w:sz w:val="24"/>
          <w:szCs w:val="24"/>
        </w:rPr>
        <w:t xml:space="preserve">Mapping to established standards</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BCP Plus is engineered to coexist with the IFPUG standards already embedded in many enterprise estimation practices. We map it explicitly to Function Point Analysis (FPA) and the Software Non-functional Assessment Process (SNAP) so that adoption need not require disposal of legacy estimation assets.</w:t>
      </w:r>
    </w:p>
    <w:p>
      <w:pPr>
        <w:spacing w:after="80" w:before="240"/>
      </w:pPr>
      <w:r>
        <w:rPr>
          <w:rFonts w:ascii="Arial" w:cs="Arial" w:eastAsia="Arial" w:hAnsi="Arial"/>
          <w:b/>
          <w:bCs/>
          <w:color w:val="1F6FEB"/>
          <w:sz w:val="20"/>
          <w:szCs w:val="20"/>
        </w:rPr>
        <w:t xml:space="preserve">Exhibit 4. </w:t>
      </w:r>
      <w:r>
        <w:rPr>
          <w:rFonts w:ascii="Arial" w:cs="Arial" w:eastAsia="Arial" w:hAnsi="Arial"/>
          <w:b/>
          <w:bCs/>
          <w:color w:val="0B2545"/>
          <w:sz w:val="20"/>
          <w:szCs w:val="20"/>
        </w:rPr>
        <w:t xml:space="preserve">FPA — BCP Plus mapping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FPA Component</w:t>
            </w:r>
          </w:p>
        </w:tc>
        <w:tc>
          <w:tcPr>
            <w:tcW w:type="dxa" w:w="24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Primary BCP Plus dimensions</w:t>
            </w:r>
          </w:p>
        </w:tc>
        <w:tc>
          <w:tcPr>
            <w:tcW w:type="dxa" w:w="45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Rationale</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ILF — Internal Logical Files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 (Domain Entities), 7 (New Domain Entities)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Each ILF corresponds to one or more managed entities.</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EIF — External Interface Files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 (Boundaries), 6 (Domain Entities)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Read-only external data is a boundary; if modelled internally it also contributes entities.</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EI — External Inputs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1, 2, 9</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Validation rules + data-entry screens + downstream alerts.</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EO — External Outputs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1, 2, 8, 9</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Reports combine rule complexity, display, asynchronous generation, and delivery.</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EQ — External Inquiries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1, 2</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Pure retrieval combines simple rules with output displays.</w:t>
            </w:r>
          </w:p>
        </w:tc>
      </w:tr>
    </w:tbl>
    <w:p>
      <w:pPr>
        <w:spacing w:after="200" w:before="80"/>
      </w:pPr>
      <w:r>
        <w:rPr>
          <w:rFonts w:ascii="Arial" w:cs="Arial" w:eastAsia="Arial" w:hAnsi="Arial"/>
          <w:i/>
          <w:iCs/>
          <w:color w:val="595959"/>
          <w:sz w:val="16"/>
          <w:szCs w:val="16"/>
        </w:rPr>
        <w:t xml:space="preserve">Source: IFPUG Function Point Counting Practices Manual, Release 4.3.1 (2010), mapped to BCP Plus dimensions.</w:t>
      </w:r>
    </w:p>
    <w:p>
      <w:pPr>
        <w:spacing w:after="80" w:before="240"/>
      </w:pPr>
      <w:r>
        <w:rPr>
          <w:rFonts w:ascii="Arial" w:cs="Arial" w:eastAsia="Arial" w:hAnsi="Arial"/>
          <w:b/>
          <w:bCs/>
          <w:color w:val="1F6FEB"/>
          <w:sz w:val="20"/>
          <w:szCs w:val="20"/>
        </w:rPr>
        <w:t xml:space="preserve">Exhibit 5. </w:t>
      </w:r>
      <w:r>
        <w:rPr>
          <w:rFonts w:ascii="Arial" w:cs="Arial" w:eastAsia="Arial" w:hAnsi="Arial"/>
          <w:b/>
          <w:bCs/>
          <w:color w:val="0B2545"/>
          <w:sz w:val="20"/>
          <w:szCs w:val="20"/>
        </w:rPr>
        <w:t xml:space="preserve">SNAP — BCP Plus mapping (non-functional)</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900"/>
        <w:gridCol w:w="2960"/>
      </w:tblGrid>
      <w:tr>
        <w:trPr>
          <w:tblHeader/>
        </w:trPr>
        <w:tc>
          <w:tcPr>
            <w:tcW w:type="dxa" w:w="6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w:t>
            </w:r>
          </w:p>
        </w:tc>
        <w:tc>
          <w:tcPr>
            <w:tcW w:type="dxa" w:w="19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SNAP Subcategory</w:t>
            </w:r>
          </w:p>
        </w:tc>
        <w:tc>
          <w:tcPr>
            <w:tcW w:type="dxa" w:w="19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BCP Plus dimensions</w:t>
            </w:r>
          </w:p>
        </w:tc>
        <w:tc>
          <w:tcPr>
            <w:tcW w:type="dxa" w:w="29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Mapping notes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Data Entry Validations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1, 2</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Rule logic + input controls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Logical / Mathematical Operations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1, 8</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Algorithms + batch calculations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Data Formatting</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1, 2</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Transformation rules + display formats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1.4</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Internal Data Movements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8, 6</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ETL + entity relationships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Data Configuration</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4, 6</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Configurable features + customisable models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User Interfaces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2, 13</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UI elements + UX quality</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Help Methods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2, 13</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Tooltips + context-sensitive help</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Multiple Input Methods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2, 13</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Form controls + voice / gesture / accessibility</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2.4</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Multiple Output Formats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2, 9, 13</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Export formats + notifications + adaptive output</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Multiple Platforms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5, 11</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Integrations + cross-platform performance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Database Technology</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6, 11</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Data model + DB scalability</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Batch Processes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8, 11</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Scheduled jobs + reliability at scale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Component-Based Software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5, 11, 12</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Microservices + resilience + security architecture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Multiple I/O Interfaces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5, 2, 11</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Endpoints + interfaces + performance</w:t>
            </w:r>
          </w:p>
        </w:tc>
      </w:tr>
    </w:tbl>
    <w:p>
      <w:pPr>
        <w:spacing w:after="200" w:before="80"/>
      </w:pPr>
      <w:r>
        <w:rPr>
          <w:rFonts w:ascii="Arial" w:cs="Arial" w:eastAsia="Arial" w:hAnsi="Arial"/>
          <w:i/>
          <w:iCs/>
          <w:color w:val="595959"/>
          <w:sz w:val="16"/>
          <w:szCs w:val="16"/>
        </w:rPr>
        <w:t xml:space="preserve">Source: IFPUG SNAP Assessment Practices Manual, Release 2.4 (2013), mapped to BCP Plus dimensions.</w:t>
      </w:r>
    </w:p>
    <w:p>
      <w:pPr>
        <w:spacing w:after="120" w:before="80" w:line="300"/>
        <w:jc w:val="both"/>
      </w:pPr>
      <w:r>
        <w:rPr>
          <w:rFonts w:ascii="Arial" w:cs="Arial" w:eastAsia="Arial" w:hAnsi="Arial"/>
          <w:b/>
          <w:bCs/>
          <w:sz w:val="22"/>
          <w:szCs w:val="22"/>
        </w:rPr>
        <w:t xml:space="preserve">What this means in practice.</w:t>
      </w:r>
      <w:r>
        <w:rPr>
          <w:rFonts w:ascii="Arial" w:cs="Arial" w:eastAsia="Arial" w:hAnsi="Arial"/>
          <w:sz w:val="22"/>
          <w:szCs w:val="22"/>
        </w:rPr>
        <w:t xml:space="preserve"> The fourteen SNAP subcategories are fully covered by BCP Plus's thirteen dimensions, with ten of the fourteen relying at least partially on the three NFR dimensions. Organisations with existing SNAP investment can migrate without losing measurement continuity; organisations without IFPUG certification can adopt BCP Plus directly.</w:t>
      </w:r>
    </w:p>
    <w:p>
      <w:r>
        <w:br w:type="page"/>
      </w:r>
    </w:p>
    <w:p>
      <w:pPr>
        <w:spacing w:after="80" w:before="320"/>
        <w:jc w:val="left"/>
      </w:pPr>
      <w:r>
        <w:rPr>
          <w:rFonts w:ascii="Arial" w:cs="Arial" w:eastAsia="Arial" w:hAnsi="Arial"/>
          <w:b/>
          <w:bCs/>
          <w:color w:val="1F6FEB"/>
          <w:sz w:val="24"/>
          <w:szCs w:val="24"/>
        </w:rPr>
        <w:t xml:space="preserve">06 · </w:t>
      </w:r>
      <w:r>
        <w:rPr>
          <w:rFonts w:ascii="Arial" w:cs="Arial" w:eastAsia="Arial" w:hAnsi="Arial"/>
          <w:b/>
          <w:bCs/>
          <w:color w:val="0B2545"/>
          <w:sz w:val="24"/>
          <w:szCs w:val="24"/>
        </w:rPr>
        <w:t xml:space="preserve">Measuring what matters — the H/BCP indicator</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BCP and BCP Plus measure complexity, not effort. Effort emerges through an empirically observed conversion ratio that we believe should sit at the centre of enterprise productivity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6FEB" w:sz="24"/>
              <w:bottom w:val="none" w:sz="0"/>
              <w:right w:val="none" w:sz="0"/>
            </w:tcBorders>
            <w:shd w:fill="F4F7FB" w:val="clear"/>
            <w:tcMar>
              <w:top w:type="dxa" w:w="240"/>
              <w:left w:type="dxa" w:w="400"/>
              <w:bottom w:type="dxa" w:w="240"/>
              <w:right w:type="dxa" w:w="400"/>
            </w:tcMar>
          </w:tcPr>
          <w:p>
            <w:pPr>
              <w:spacing w:after="80" w:before="0" w:line="320"/>
            </w:pPr>
            <w:r>
              <w:rPr>
                <w:rFonts w:ascii="Arial" w:cs="Arial" w:eastAsia="Arial" w:hAnsi="Arial"/>
                <w:i/>
                <w:iCs/>
                <w:color w:val="0B2545"/>
                <w:sz w:val="26"/>
                <w:szCs w:val="26"/>
              </w:rPr>
              <w:t xml:space="preserve">“H/BCP — delivery hours per Business Complexity Point — is the cleanest available denominator for hybrid human–AI velocity comparisons.”</w:t>
            </w:r>
          </w:p>
          <w:p>
            <w:pPr>
              <w:spacing w:after="0" w:before="80"/>
            </w:pPr>
            <w:r>
              <w:rPr>
                <w:rFonts w:ascii="Arial" w:cs="Arial" w:eastAsia="Arial" w:hAnsi="Arial"/>
                <w:color w:val="595959"/>
                <w:sz w:val="20"/>
                <w:szCs w:val="20"/>
              </w:rPr>
              <w:t xml:space="preserve">— Methodology note</w:t>
            </w:r>
          </w:p>
        </w:tc>
      </w:tr>
    </w:tbl>
    <w:p>
      <w:pPr>
        <w:spacing w:after="120" w:before="80" w:line="300"/>
        <w:jc w:val="both"/>
      </w:pPr>
      <w:r>
        <w:rPr>
          <w:rFonts w:ascii="Arial" w:cs="Arial" w:eastAsia="Arial" w:hAnsi="Arial"/>
          <w:sz w:val="22"/>
          <w:szCs w:val="22"/>
        </w:rPr>
        <w:t xml:space="preserve">The H/BCP ratio is permitted to vary by team, technology, and engineering practice. The variability is itself diagnostic: improvements driven by AI tooling show up as a falling H/BCP at constant BCP throughput, while reorganisation pain shows up as a rising H/BCP at constant team headcount. We recommend executive dashboards present three views: (i) BCP throughput per period; (ii) H/BCP trend; and (iii) NFR ratio of the work delivered.</w:t>
      </w:r>
    </w:p>
    <w:p>
      <w:r>
        <w:br w:type="page"/>
      </w:r>
    </w:p>
    <w:p>
      <w:pPr>
        <w:spacing w:after="80" w:before="320"/>
        <w:jc w:val="left"/>
      </w:pPr>
      <w:r>
        <w:rPr>
          <w:rFonts w:ascii="Arial" w:cs="Arial" w:eastAsia="Arial" w:hAnsi="Arial"/>
          <w:b/>
          <w:bCs/>
          <w:color w:val="1F6FEB"/>
          <w:sz w:val="24"/>
          <w:szCs w:val="24"/>
        </w:rPr>
        <w:t xml:space="preserve">07 · </w:t>
      </w:r>
      <w:r>
        <w:rPr>
          <w:rFonts w:ascii="Arial" w:cs="Arial" w:eastAsia="Arial" w:hAnsi="Arial"/>
          <w:b/>
          <w:bCs/>
          <w:color w:val="0B2545"/>
          <w:sz w:val="24"/>
          <w:szCs w:val="24"/>
        </w:rPr>
        <w:t xml:space="preserve">What we learned from the field — empirical stability evaluation</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The credibility of any automated estimation system depends on the repeatability of its outputs. We share here the findings of an internal stability evaluation conducted by CI&amp;T's Flow team in April 2026, applied to the BCP Plus automated counter on a production user-story baseline.</w:t>
      </w:r>
    </w:p>
    <w:p>
      <w:pPr>
        <w:pStyle w:val="Heading3"/>
        <w:spacing w:after="120" w:before="220"/>
      </w:pPr>
      <w:r>
        <w:rPr>
          <w:rFonts w:ascii="Arial" w:cs="Arial" w:eastAsia="Arial" w:hAnsi="Arial"/>
          <w:b/>
          <w:bCs/>
          <w:color w:val="212121"/>
          <w:sz w:val="23"/>
          <w:szCs w:val="23"/>
        </w:rPr>
        <w:t xml:space="preserve">The 43-story baseline</w:t>
      </w:r>
    </w:p>
    <w:p>
      <w:pPr>
        <w:spacing w:after="120" w:before="80" w:line="300"/>
        <w:jc w:val="both"/>
      </w:pPr>
      <w:r>
        <w:rPr>
          <w:rFonts w:ascii="Arial" w:cs="Arial" w:eastAsia="Arial" w:hAnsi="Arial"/>
          <w:sz w:val="22"/>
          <w:szCs w:val="22"/>
        </w:rPr>
        <w:t xml:space="preserve">The evaluation uses a baseline of 43 production user stories drawn from CI&amp;T and Itaú backlogs, each previously sized by humans. Exhibit 6 profiles the distribution.</w:t>
      </w:r>
    </w:p>
    <w:p>
      <w:pPr>
        <w:spacing w:after="80" w:before="240"/>
      </w:pPr>
      <w:r>
        <w:rPr>
          <w:rFonts w:ascii="Arial" w:cs="Arial" w:eastAsia="Arial" w:hAnsi="Arial"/>
          <w:b/>
          <w:bCs/>
          <w:color w:val="1F6FEB"/>
          <w:sz w:val="20"/>
          <w:szCs w:val="20"/>
        </w:rPr>
        <w:t xml:space="preserve">Exhibit 6. </w:t>
      </w:r>
      <w:r>
        <w:rPr>
          <w:rFonts w:ascii="Arial" w:cs="Arial" w:eastAsia="Arial" w:hAnsi="Arial"/>
          <w:b/>
          <w:bCs/>
          <w:color w:val="0B2545"/>
          <w:sz w:val="20"/>
          <w:szCs w:val="20"/>
        </w:rPr>
        <w:t xml:space="preserve">Baseline distribution — 43 production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Statistic</w:t>
            </w:r>
          </w:p>
        </w:tc>
        <w:tc>
          <w:tcPr>
            <w:tcW w:type="dxa" w:w="31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Reading</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43 stories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Stratified across multiple project prefixes</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Min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 BCP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Smallest item (simple feature)</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Median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12 BCP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Typical medium-complexity item</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Mean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11.95 BCP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Centred near the median</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Std. dev.</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 4.99 BCP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Moderate dispersion</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Max</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29 BCP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Largest item (complex multi-dimension feature)</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6–10 BCP bucket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18 / 43 (41.9%)</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Dominant cluster</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11–15 BCP bucket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15 / 43 (34.9%)</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Second cluster</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16+ BCP bucket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 / 43 (20.9%)</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Long right tail</w:t>
            </w:r>
          </w:p>
        </w:tc>
      </w:tr>
    </w:tbl>
    <w:p>
      <w:pPr>
        <w:spacing w:after="200" w:before="80"/>
      </w:pPr>
      <w:r>
        <w:rPr>
          <w:rFonts w:ascii="Arial" w:cs="Arial" w:eastAsia="Arial" w:hAnsi="Arial"/>
          <w:i/>
          <w:iCs/>
          <w:color w:val="595959"/>
          <w:sz w:val="16"/>
          <w:szCs w:val="16"/>
        </w:rPr>
        <w:t xml:space="preserve">Source: CI&amp;T Flow team, 43StoriesBaseline.csv (April 2026).</w:t>
      </w:r>
    </w:p>
    <w:p>
      <w:pPr>
        <w:pStyle w:val="Heading3"/>
        <w:spacing w:after="120" w:before="220"/>
      </w:pPr>
      <w:r>
        <w:rPr>
          <w:rFonts w:ascii="Arial" w:cs="Arial" w:eastAsia="Arial" w:hAnsi="Arial"/>
          <w:b/>
          <w:bCs/>
          <w:color w:val="212121"/>
          <w:sz w:val="23"/>
          <w:szCs w:val="23"/>
        </w:rPr>
        <w:t xml:space="preserve">Protocol</w:t>
      </w:r>
    </w:p>
    <w:p>
      <w:pPr>
        <w:spacing w:after="120" w:before="80" w:line="300"/>
        <w:jc w:val="both"/>
      </w:pPr>
      <w:r>
        <w:rPr>
          <w:rFonts w:ascii="Arial" w:cs="Arial" w:eastAsia="Arial" w:hAnsi="Arial"/>
          <w:sz w:val="22"/>
          <w:szCs w:val="22"/>
        </w:rPr>
        <w:t xml:space="preserve">Each story was scored 25 times by the BCP Plus prompt chain, yielding 1,075 individual classifications. The configuration:</w:t>
      </w:r>
    </w:p>
    <w:p>
      <w:pPr>
        <w:pStyle w:val="ListParagraph"/>
        <w:numPr>
          <w:ilvl w:val="0"/>
          <w:numId w:val="3"/>
        </w:numPr>
        <w:spacing w:after="40" w:before="40" w:line="280"/>
      </w:pPr>
      <w:r>
        <w:rPr>
          <w:rFonts w:ascii="Arial" w:cs="Arial" w:eastAsia="Arial" w:hAnsi="Arial"/>
          <w:sz w:val="22"/>
          <w:szCs w:val="22"/>
        </w:rPr>
        <w:t xml:space="preserve">Model: GPT-4o-mini (the model also used by the open-sourced BCP Simplified counter).</w:t>
      </w:r>
    </w:p>
    <w:p>
      <w:pPr>
        <w:pStyle w:val="ListParagraph"/>
        <w:numPr>
          <w:ilvl w:val="0"/>
          <w:numId w:val="3"/>
        </w:numPr>
        <w:spacing w:after="40" w:before="40" w:line="280"/>
      </w:pPr>
      <w:r>
        <w:rPr>
          <w:rFonts w:ascii="Arial" w:cs="Arial" w:eastAsia="Arial" w:hAnsi="Arial"/>
          <w:sz w:val="22"/>
          <w:szCs w:val="22"/>
        </w:rPr>
        <w:t xml:space="preserve">Temperature: 0 (temperature 1 was tested and discarded as unstable).</w:t>
      </w:r>
    </w:p>
    <w:p>
      <w:pPr>
        <w:pStyle w:val="ListParagraph"/>
        <w:numPr>
          <w:ilvl w:val="0"/>
          <w:numId w:val="3"/>
        </w:numPr>
        <w:spacing w:after="40" w:before="40" w:line="280"/>
      </w:pPr>
      <w:r>
        <w:rPr>
          <w:rFonts w:ascii="Arial" w:cs="Arial" w:eastAsia="Arial" w:hAnsi="Arial"/>
          <w:sz w:val="22"/>
          <w:szCs w:val="22"/>
        </w:rPr>
        <w:t xml:space="preserve">Iterations: 25 per story.</w:t>
      </w:r>
    </w:p>
    <w:p>
      <w:pPr>
        <w:pStyle w:val="ListParagraph"/>
        <w:numPr>
          <w:ilvl w:val="0"/>
          <w:numId w:val="3"/>
        </w:numPr>
        <w:spacing w:after="40" w:before="40" w:line="280"/>
      </w:pPr>
      <w:r>
        <w:rPr>
          <w:rFonts w:ascii="Arial" w:cs="Arial" w:eastAsia="Arial" w:hAnsi="Arial"/>
          <w:sz w:val="22"/>
          <w:szCs w:val="22"/>
        </w:rPr>
        <w:t xml:space="preserve">Stability metric: coefficient of variation (CV%) per dimension, averaged across stories.</w:t>
      </w:r>
    </w:p>
    <w:p>
      <w:pPr>
        <w:spacing w:after="80" w:before="240"/>
      </w:pPr>
      <w:r>
        <w:rPr>
          <w:rFonts w:ascii="Arial" w:cs="Arial" w:eastAsia="Arial" w:hAnsi="Arial"/>
          <w:b/>
          <w:bCs/>
          <w:color w:val="1F6FEB"/>
          <w:sz w:val="20"/>
          <w:szCs w:val="20"/>
        </w:rPr>
        <w:t xml:space="preserve">Exhibit 7. </w:t>
      </w:r>
      <w:r>
        <w:rPr>
          <w:rFonts w:ascii="Arial" w:cs="Arial" w:eastAsia="Arial" w:hAnsi="Arial"/>
          <w:b/>
          <w:bCs/>
          <w:color w:val="0B2545"/>
          <w:sz w:val="20"/>
          <w:szCs w:val="20"/>
        </w:rPr>
        <w:t xml:space="preserve">Per-dimension stability — BCP Plus automated counter (GPT-4o-mini, T=0, 25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Dimension</w:t>
            </w:r>
          </w:p>
        </w:tc>
        <w:tc>
          <w:tcPr>
            <w:tcW w:type="dxa" w:w="18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CV%</w:t>
            </w:r>
          </w:p>
        </w:tc>
        <w:tc>
          <w:tcPr>
            <w:tcW w:type="dxa" w:w="18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Status</w:t>
            </w:r>
          </w:p>
        </w:tc>
        <w:tc>
          <w:tcPr>
            <w:tcW w:type="dxa" w:w="21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Notes</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Solution Variabilities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47.1%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Critical</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Intrinsic to prompt — logic loop in decision tree</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Boundaries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44.6%</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Critical</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Intrinsic to prompt — scale conflicts</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Interface Elements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40.1%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High</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Maturity-dependent (falls to 22.6% for mat &gt; 3)</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Domain Entities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38.6%</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High</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Maturity-dependent</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Roles / Permissions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33.2%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High</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Maturity-dependent (falls to 17.2% for mat &gt; 3)</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New Domain Entities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24.8%</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Moderate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Quality Attributes (NFR)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22.5%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Moderate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Exclusive to BCP Plus</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Background Processes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21.4%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Moderate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Business Rules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19.2%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Moderate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Falls to 15.9% for mat &gt; 3</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Notifications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13.5%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Stable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Audits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13.2%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Stable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Security &amp; Compliance (NFR)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10.5%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Stable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Exclusive to BCP Plus</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UX &amp; Accessibility (NFR)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9.8%</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Stable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Exclusive to BCP Plus</w:t>
            </w:r>
          </w:p>
        </w:tc>
      </w:tr>
    </w:tbl>
    <w:p>
      <w:pPr>
        <w:spacing w:after="200" w:before="80"/>
      </w:pPr>
      <w:r>
        <w:rPr>
          <w:rFonts w:ascii="Arial" w:cs="Arial" w:eastAsia="Arial" w:hAnsi="Arial"/>
          <w:i/>
          <w:iCs/>
          <w:color w:val="595959"/>
          <w:sz w:val="16"/>
          <w:szCs w:val="16"/>
        </w:rPr>
        <w:t xml:space="preserve">Source: CI&amp;T Flow team, BCP Scope Counting stability analysis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6FEB" w:sz="24"/>
              <w:bottom w:val="none" w:sz="0"/>
              <w:right w:val="none" w:sz="0"/>
            </w:tcBorders>
            <w:shd w:fill="F4F7FB" w:val="clear"/>
            <w:tcMar>
              <w:top w:type="dxa" w:w="240"/>
              <w:left w:type="dxa" w:w="400"/>
              <w:bottom w:type="dxa" w:w="240"/>
              <w:right w:type="dxa" w:w="400"/>
            </w:tcMar>
          </w:tcPr>
          <w:p>
            <w:pPr>
              <w:spacing w:after="80" w:before="0" w:line="320"/>
            </w:pPr>
            <w:r>
              <w:rPr>
                <w:rFonts w:ascii="Arial" w:cs="Arial" w:eastAsia="Arial" w:hAnsi="Arial"/>
                <w:i/>
                <w:iCs/>
                <w:color w:val="0B2545"/>
                <w:sz w:val="26"/>
                <w:szCs w:val="26"/>
              </w:rPr>
              <w:t xml:space="preserve">“Counter-intuitively, the three non-functional dimensions added by BCP Plus are among the most stable. Security &amp; Compliance and UX &amp; Accessibility both sit below 11% CV.”</w:t>
            </w:r>
          </w:p>
          <w:p>
            <w:pPr>
              <w:spacing w:after="0" w:before="80"/>
            </w:pPr>
            <w:r>
              <w:rPr>
                <w:rFonts w:ascii="Arial" w:cs="Arial" w:eastAsia="Arial" w:hAnsi="Arial"/>
                <w:color w:val="595959"/>
                <w:sz w:val="20"/>
                <w:szCs w:val="20"/>
              </w:rPr>
              <w:t xml:space="preserve">— Field observation</w:t>
            </w:r>
          </w:p>
        </w:tc>
      </w:tr>
    </w:tbl>
    <w:p>
      <w:pPr>
        <w:pStyle w:val="Heading3"/>
        <w:spacing w:after="120" w:before="220"/>
      </w:pPr>
      <w:r>
        <w:rPr>
          <w:rFonts w:ascii="Arial" w:cs="Arial" w:eastAsia="Arial" w:hAnsi="Arial"/>
          <w:b/>
          <w:bCs/>
          <w:color w:val="212121"/>
          <w:sz w:val="23"/>
          <w:szCs w:val="23"/>
        </w:rPr>
        <w:t xml:space="preserve">Regression versus the open-source BCP Simplified counter</w:t>
      </w:r>
    </w:p>
    <w:p>
      <w:pPr>
        <w:spacing w:after="120" w:before="80" w:line="300"/>
        <w:jc w:val="both"/>
      </w:pPr>
      <w:r>
        <w:rPr>
          <w:rFonts w:ascii="Arial" w:cs="Arial" w:eastAsia="Arial" w:hAnsi="Arial"/>
          <w:sz w:val="22"/>
          <w:szCs w:val="22"/>
        </w:rPr>
        <w:t xml:space="preserve">An unwelcome finding: the three functional dimensions that BCP Plus shares with the open-sourced BCP Simplified all regress in stability when migrated into the 13-dimension prompt chain.</w:t>
      </w:r>
    </w:p>
    <w:p>
      <w:pPr>
        <w:spacing w:after="80" w:before="240"/>
      </w:pPr>
      <w:r>
        <w:rPr>
          <w:rFonts w:ascii="Arial" w:cs="Arial" w:eastAsia="Arial" w:hAnsi="Arial"/>
          <w:b/>
          <w:bCs/>
          <w:color w:val="1F6FEB"/>
          <w:sz w:val="20"/>
          <w:szCs w:val="20"/>
        </w:rPr>
        <w:t xml:space="preserve">Exhibit 8. </w:t>
      </w:r>
      <w:r>
        <w:rPr>
          <w:rFonts w:ascii="Arial" w:cs="Arial" w:eastAsia="Arial" w:hAnsi="Arial"/>
          <w:b/>
          <w:bCs/>
          <w:color w:val="0B2545"/>
          <w:sz w:val="20"/>
          <w:szCs w:val="20"/>
        </w:rPr>
        <w:t xml:space="preserve">Stability regression — three shared functional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Dimension</w:t>
            </w:r>
          </w:p>
        </w:tc>
        <w:tc>
          <w:tcPr>
            <w:tcW w:type="dxa" w:w="208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BCP Simplified CV</w:t>
            </w:r>
          </w:p>
        </w:tc>
        <w:tc>
          <w:tcPr>
            <w:tcW w:type="dxa" w:w="208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BCP Plus CV</w:t>
            </w:r>
          </w:p>
        </w:tc>
        <w:tc>
          <w:tcPr>
            <w:tcW w:type="dxa" w:w="208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Delta</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Business Rules</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10.1%</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19.2%</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+9.0 pp</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Interface Elements</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12.6%</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40.1%</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+27.5 pp</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Boundaries</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5.0%</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44.6%</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+39.6 pp (≈ 9×)</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Mean of the 3</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9.9%</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 34.6%</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+24.7 pp</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 Score</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1.3%</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2.1%</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Marginal — still stable</w:t>
            </w:r>
          </w:p>
        </w:tc>
      </w:tr>
    </w:tbl>
    <w:p>
      <w:pPr>
        <w:spacing w:after="200" w:before="80"/>
      </w:pPr>
      <w:r>
        <w:rPr>
          <w:rFonts w:ascii="Arial" w:cs="Arial" w:eastAsia="Arial" w:hAnsi="Arial"/>
          <w:i/>
          <w:iCs/>
          <w:color w:val="595959"/>
          <w:sz w:val="16"/>
          <w:szCs w:val="16"/>
        </w:rPr>
        <w:t xml:space="preserve">Source: CI&amp;T Flow team, comparative stability analysis (April 2026).</w:t>
      </w:r>
    </w:p>
    <w:p>
      <w:pPr>
        <w:spacing w:after="120" w:before="80" w:line="300"/>
        <w:jc w:val="both"/>
      </w:pPr>
      <w:r>
        <w:rPr>
          <w:rFonts w:ascii="Arial" w:cs="Arial" w:eastAsia="Arial" w:hAnsi="Arial"/>
          <w:sz w:val="22"/>
          <w:szCs w:val="22"/>
        </w:rPr>
        <w:t xml:space="preserve">Our interpretation is that the single-prompt-chain architecture introduces cross-dimensional interference. The remediation, set out in Section 9, is migration to a per-dimension prompt architecture analogous to the one already deployed by the open-sourced BCP Simplified counter in production.</w:t>
      </w:r>
    </w:p>
    <w:p>
      <w:pPr>
        <w:pStyle w:val="Heading3"/>
        <w:spacing w:after="120" w:before="220"/>
      </w:pPr>
      <w:r>
        <w:rPr>
          <w:rFonts w:ascii="Arial" w:cs="Arial" w:eastAsia="Arial" w:hAnsi="Arial"/>
          <w:b/>
          <w:bCs/>
          <w:color w:val="212121"/>
          <w:sz w:val="23"/>
          <w:szCs w:val="23"/>
        </w:rPr>
        <w:t xml:space="preserve">Two profiles of instability</w:t>
      </w:r>
    </w:p>
    <w:p>
      <w:pPr>
        <w:spacing w:after="120" w:before="80" w:line="300"/>
        <w:jc w:val="both"/>
      </w:pPr>
      <w:r>
        <w:rPr>
          <w:rFonts w:ascii="Arial" w:cs="Arial" w:eastAsia="Arial" w:hAnsi="Arial"/>
          <w:sz w:val="22"/>
          <w:szCs w:val="22"/>
        </w:rPr>
        <w:t xml:space="preserve">Drivers of high CV cluster into two profiles that respond to fundamentally different interventions.</w:t>
      </w:r>
    </w:p>
    <w:p>
      <w:pPr>
        <w:spacing w:after="80" w:before="240"/>
      </w:pPr>
      <w:r>
        <w:rPr>
          <w:rFonts w:ascii="Arial" w:cs="Arial" w:eastAsia="Arial" w:hAnsi="Arial"/>
          <w:b/>
          <w:bCs/>
          <w:color w:val="1F6FEB"/>
          <w:sz w:val="20"/>
          <w:szCs w:val="20"/>
        </w:rPr>
        <w:t xml:space="preserve">Exhibit 9. </w:t>
      </w:r>
      <w:r>
        <w:rPr>
          <w:rFonts w:ascii="Arial" w:cs="Arial" w:eastAsia="Arial" w:hAnsi="Arial"/>
          <w:b/>
          <w:bCs/>
          <w:color w:val="0B2545"/>
          <w:sz w:val="20"/>
          <w:szCs w:val="20"/>
        </w:rPr>
        <w:t xml:space="preserve">Two intervention paths for high-CV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Intrinsic to the prompt</w:t>
            </w:r>
          </w:p>
        </w:tc>
        <w:tc>
          <w:tcPr>
            <w:tcW w:type="dxa" w:w="468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Dependent on story maturity</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CV remains high even on well-written stories. Better stories do not help; prompt revision is mandatory.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CV falls significantly on stories with maturity &gt; 3. The principal lever is therefore story quality, not the prompt.</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Boundaries (CV 44.6%) — scale conflicts between sub-prompts.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Interface Elements: 40.1% → 22.6% on mat &gt; 3.</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Solution Variabilities (CV 47.1%) — logic loop in the decision tree.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Roles / Permissions: 33.2% → 17.2% on mat &gt; 3.</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Business Rules: 19.2% → 15.9% on mat &gt; 3.</w:t>
            </w:r>
          </w:p>
        </w:tc>
      </w:tr>
    </w:tbl>
    <w:p>
      <w:pPr>
        <w:spacing w:after="200" w:before="80"/>
      </w:pPr>
      <w:r>
        <w:rPr>
          <w:rFonts w:ascii="Arial" w:cs="Arial" w:eastAsia="Arial" w:hAnsi="Arial"/>
          <w:i/>
          <w:iCs/>
          <w:color w:val="595959"/>
          <w:sz w:val="16"/>
          <w:szCs w:val="16"/>
        </w:rPr>
        <w:t xml:space="preserve">Source: CI&amp;T Flow team, causes-roots analysis (April 2026).</w:t>
      </w:r>
    </w:p>
    <w:p>
      <w:pPr>
        <w:pStyle w:val="Heading3"/>
        <w:spacing w:after="120" w:before="220"/>
      </w:pPr>
      <w:r>
        <w:rPr>
          <w:rFonts w:ascii="Arial" w:cs="Arial" w:eastAsia="Arial" w:hAnsi="Arial"/>
          <w:b/>
          <w:bCs/>
          <w:color w:val="212121"/>
          <w:sz w:val="23"/>
          <w:szCs w:val="23"/>
        </w:rPr>
        <w:t xml:space="preserve">The maturity score as a confidence indicator</w:t>
      </w:r>
    </w:p>
    <w:p>
      <w:pPr>
        <w:spacing w:after="120" w:before="80" w:line="300"/>
        <w:jc w:val="both"/>
      </w:pPr>
      <w:r>
        <w:rPr>
          <w:rFonts w:ascii="Arial" w:cs="Arial" w:eastAsia="Arial" w:hAnsi="Arial"/>
          <w:sz w:val="22"/>
          <w:szCs w:val="22"/>
        </w:rPr>
        <w:t xml:space="preserve">Story maturity is a leading indicator of counting reliability. We recommend that any deployment of the BCP Plus counter surface maturity as a first-class confidence signal alongside the score itself.</w:t>
      </w:r>
    </w:p>
    <w:p>
      <w:pPr>
        <w:spacing w:after="80" w:before="240"/>
      </w:pPr>
      <w:r>
        <w:rPr>
          <w:rFonts w:ascii="Arial" w:cs="Arial" w:eastAsia="Arial" w:hAnsi="Arial"/>
          <w:b/>
          <w:bCs/>
          <w:color w:val="1F6FEB"/>
          <w:sz w:val="20"/>
          <w:szCs w:val="20"/>
        </w:rPr>
        <w:t xml:space="preserve">Exhibit 10. </w:t>
      </w:r>
      <w:r>
        <w:rPr>
          <w:rFonts w:ascii="Arial" w:cs="Arial" w:eastAsia="Arial" w:hAnsi="Arial"/>
          <w:b/>
          <w:bCs/>
          <w:color w:val="0B2545"/>
          <w:sz w:val="20"/>
          <w:szCs w:val="20"/>
        </w:rPr>
        <w:t xml:space="preserve">BCP Plus aggregate CV by story maturity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Maturity bucket</w:t>
            </w:r>
          </w:p>
        </w:tc>
        <w:tc>
          <w:tcPr>
            <w:tcW w:type="dxa" w:w="31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Mean BCP Plus CV</w:t>
            </w:r>
          </w:p>
        </w:tc>
        <w:tc>
          <w:tcPr>
            <w:tcW w:type="dxa" w:w="31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Implication</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 &lt; 3</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39.5%</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High instability — surface a warning</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 = 3</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15.5%</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Moderate instability</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 &gt; 3</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12.2%</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Reliable</w:t>
            </w:r>
          </w:p>
        </w:tc>
      </w:tr>
    </w:tbl>
    <w:p>
      <w:pPr>
        <w:spacing w:after="200" w:before="80"/>
      </w:pPr>
      <w:r>
        <w:rPr>
          <w:rFonts w:ascii="Arial" w:cs="Arial" w:eastAsia="Arial" w:hAnsi="Arial"/>
          <w:i/>
          <w:iCs/>
          <w:color w:val="595959"/>
          <w:sz w:val="16"/>
          <w:szCs w:val="16"/>
        </w:rPr>
        <w:t xml:space="preserve">Source: CI&amp;T Flow team, maturity-bucketed analysis (April 2026).</w:t>
      </w:r>
    </w:p>
    <w:p>
      <w:pPr>
        <w:spacing w:after="120" w:before="80" w:line="300"/>
        <w:jc w:val="both"/>
      </w:pPr>
      <w:r>
        <w:rPr>
          <w:rFonts w:ascii="Arial" w:cs="Arial" w:eastAsia="Arial" w:hAnsi="Arial"/>
          <w:sz w:val="22"/>
          <w:szCs w:val="22"/>
        </w:rPr>
        <w:t xml:space="preserve">Stories below maturity 3 exhibit approximately 3× the instability of mature stories. The open-sourced BCP Simplified product has used maturity as a confidence indicator since September 2025; BCP Plus inherits and extends the design.</w:t>
      </w:r>
    </w:p>
    <w:p>
      <w:r>
        <w:br w:type="page"/>
      </w:r>
    </w:p>
    <w:p>
      <w:pPr>
        <w:spacing w:after="80" w:before="320"/>
        <w:jc w:val="left"/>
      </w:pPr>
      <w:r>
        <w:rPr>
          <w:rFonts w:ascii="Arial" w:cs="Arial" w:eastAsia="Arial" w:hAnsi="Arial"/>
          <w:b/>
          <w:bCs/>
          <w:color w:val="1F6FEB"/>
          <w:sz w:val="24"/>
          <w:szCs w:val="24"/>
        </w:rPr>
        <w:t xml:space="preserve">08 · </w:t>
      </w:r>
      <w:r>
        <w:rPr>
          <w:rFonts w:ascii="Arial" w:cs="Arial" w:eastAsia="Arial" w:hAnsi="Arial"/>
          <w:b/>
          <w:bCs/>
          <w:color w:val="0B2545"/>
          <w:sz w:val="24"/>
          <w:szCs w:val="24"/>
        </w:rPr>
        <w:t xml:space="preserve">Implications for leaders</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We have distilled five implications that, in our view, are most relevant to CIOs, CTOs, CFOs, and audit committee chairs evaluating their software estimation practice over the next twelve months.</w:t>
      </w:r>
    </w:p>
    <w:p>
      <w:pPr>
        <w:pStyle w:val="Heading3"/>
        <w:spacing w:after="120" w:before="220"/>
      </w:pPr>
      <w:r>
        <w:rPr>
          <w:rFonts w:ascii="Arial" w:cs="Arial" w:eastAsia="Arial" w:hAnsi="Arial"/>
          <w:b/>
          <w:bCs/>
          <w:color w:val="212121"/>
          <w:sz w:val="23"/>
          <w:szCs w:val="23"/>
        </w:rPr>
        <w:t xml:space="preserve">1. Re-baseline the productivity conversation</w:t>
      </w:r>
    </w:p>
    <w:p>
      <w:pPr>
        <w:spacing w:after="120" w:before="80" w:line="300"/>
        <w:jc w:val="both"/>
      </w:pPr>
      <w:r>
        <w:rPr>
          <w:rFonts w:ascii="Arial" w:cs="Arial" w:eastAsia="Arial" w:hAnsi="Arial"/>
          <w:sz w:val="22"/>
          <w:szCs w:val="22"/>
        </w:rPr>
        <w:t xml:space="preserve">Move the executive productivity dashboard off story points and onto BCP plus the H/BCP ratio. The transition can be staged: convert one representative team first, build six months of paired data, then scale.</w:t>
      </w:r>
    </w:p>
    <w:p>
      <w:pPr>
        <w:pStyle w:val="Heading3"/>
        <w:spacing w:after="120" w:before="220"/>
      </w:pPr>
      <w:r>
        <w:rPr>
          <w:rFonts w:ascii="Arial" w:cs="Arial" w:eastAsia="Arial" w:hAnsi="Arial"/>
          <w:b/>
          <w:bCs/>
          <w:color w:val="212121"/>
          <w:sz w:val="23"/>
          <w:szCs w:val="23"/>
        </w:rPr>
        <w:t xml:space="preserve">2. Make the AI denominator defensible</w:t>
      </w:r>
    </w:p>
    <w:p>
      <w:pPr>
        <w:spacing w:after="120" w:before="80" w:line="300"/>
        <w:jc w:val="both"/>
      </w:pPr>
      <w:r>
        <w:rPr>
          <w:rFonts w:ascii="Arial" w:cs="Arial" w:eastAsia="Arial" w:hAnsi="Arial"/>
          <w:sz w:val="22"/>
          <w:szCs w:val="22"/>
        </w:rPr>
        <w:t xml:space="preserve">Before claiming an AI productivity uplift, ensure the velocity denominator is normalised. Without BCP or BCP Plus in place, AI ROI claims will not survive prudential or audit scrutiny.</w:t>
      </w:r>
    </w:p>
    <w:p>
      <w:pPr>
        <w:pStyle w:val="Heading3"/>
        <w:spacing w:after="120" w:before="220"/>
      </w:pPr>
      <w:r>
        <w:rPr>
          <w:rFonts w:ascii="Arial" w:cs="Arial" w:eastAsia="Arial" w:hAnsi="Arial"/>
          <w:b/>
          <w:bCs/>
          <w:color w:val="212121"/>
          <w:sz w:val="23"/>
          <w:szCs w:val="23"/>
        </w:rPr>
        <w:t xml:space="preserve">3. Surface NFR work explicitly</w:t>
      </w:r>
    </w:p>
    <w:p>
      <w:pPr>
        <w:spacing w:after="120" w:before="80" w:line="300"/>
        <w:jc w:val="both"/>
      </w:pPr>
      <w:r>
        <w:rPr>
          <w:rFonts w:ascii="Arial" w:cs="Arial" w:eastAsia="Arial" w:hAnsi="Arial"/>
          <w:sz w:val="22"/>
          <w:szCs w:val="22"/>
        </w:rPr>
        <w:t xml:space="preserve">Use the NFR ratio (D11 + D12 + D13 over total BCP Plus) as a portfolio-level signal. NFR-heavy initiatives (over 30%) warrant an architectural spike before commitment. NFR-blind initiatives (under 5%) in regulated industries warrant a second look — they may be hiding work.</w:t>
      </w:r>
    </w:p>
    <w:p>
      <w:pPr>
        <w:pStyle w:val="Heading3"/>
        <w:spacing w:after="120" w:before="220"/>
      </w:pPr>
      <w:r>
        <w:rPr>
          <w:rFonts w:ascii="Arial" w:cs="Arial" w:eastAsia="Arial" w:hAnsi="Arial"/>
          <w:b/>
          <w:bCs/>
          <w:color w:val="212121"/>
          <w:sz w:val="23"/>
          <w:szCs w:val="23"/>
        </w:rPr>
        <w:t xml:space="preserve">4. Treat the maturity score as governance</w:t>
      </w:r>
    </w:p>
    <w:p>
      <w:pPr>
        <w:spacing w:after="120" w:before="80" w:line="300"/>
        <w:jc w:val="both"/>
      </w:pPr>
      <w:r>
        <w:rPr>
          <w:rFonts w:ascii="Arial" w:cs="Arial" w:eastAsia="Arial" w:hAnsi="Arial"/>
          <w:sz w:val="22"/>
          <w:szCs w:val="22"/>
        </w:rPr>
        <w:t xml:space="preserve">Block backlog items with maturity below 3 from sprint commitment without explicit risk acceptance. The data shows that scoring such stories with the LLM counter delivers approximately 3× the instability of mature stories.</w:t>
      </w:r>
    </w:p>
    <w:p>
      <w:pPr>
        <w:pStyle w:val="Heading3"/>
        <w:spacing w:after="120" w:before="220"/>
      </w:pPr>
      <w:r>
        <w:rPr>
          <w:rFonts w:ascii="Arial" w:cs="Arial" w:eastAsia="Arial" w:hAnsi="Arial"/>
          <w:b/>
          <w:bCs/>
          <w:color w:val="212121"/>
          <w:sz w:val="23"/>
          <w:szCs w:val="23"/>
        </w:rPr>
        <w:t xml:space="preserve">5. Plan for model migration</w:t>
      </w:r>
    </w:p>
    <w:p>
      <w:pPr>
        <w:spacing w:after="120" w:before="80" w:line="300"/>
        <w:jc w:val="both"/>
      </w:pPr>
      <w:r>
        <w:rPr>
          <w:rFonts w:ascii="Arial" w:cs="Arial" w:eastAsia="Arial" w:hAnsi="Arial"/>
          <w:sz w:val="22"/>
          <w:szCs w:val="22"/>
        </w:rPr>
        <w:t xml:space="preserve">OpenAI's deprecation of GPT-4o-mini affects the open-source BCP counter and any downstream BCP Plus implementation. Build a model-migration cadence into your estimation operating model — do not assume the model selection is static.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6FEB" w:sz="24"/>
              <w:bottom w:val="none" w:sz="0"/>
              <w:right w:val="none" w:sz="0"/>
            </w:tcBorders>
            <w:shd w:fill="F4F7FB" w:val="clear"/>
            <w:tcMar>
              <w:top w:type="dxa" w:w="240"/>
              <w:left w:type="dxa" w:w="400"/>
              <w:bottom w:type="dxa" w:w="240"/>
              <w:right w:type="dxa" w:w="400"/>
            </w:tcMar>
          </w:tcPr>
          <w:p>
            <w:pPr>
              <w:spacing w:after="80" w:before="0" w:line="320"/>
            </w:pPr>
            <w:r>
              <w:rPr>
                <w:rFonts w:ascii="Arial" w:cs="Arial" w:eastAsia="Arial" w:hAnsi="Arial"/>
                <w:i/>
                <w:iCs/>
                <w:color w:val="0B2545"/>
                <w:sz w:val="26"/>
                <w:szCs w:val="26"/>
              </w:rPr>
              <w:t xml:space="preserve">“Treat your estimation system the way you treat your control environment: under change management, with documented owners, and a defined model-validation cadence.”</w:t>
            </w:r>
          </w:p>
          <w:p>
            <w:pPr>
              <w:spacing w:after="0" w:before="80"/>
            </w:pPr>
            <w:r>
              <w:rPr>
                <w:rFonts w:ascii="Arial" w:cs="Arial" w:eastAsia="Arial" w:hAnsi="Arial"/>
                <w:color w:val="595959"/>
                <w:sz w:val="20"/>
                <w:szCs w:val="20"/>
              </w:rPr>
              <w:t xml:space="preserve">— Recommendation to audit committees</w:t>
            </w:r>
          </w:p>
        </w:tc>
      </w:tr>
    </w:tbl>
    <w:p>
      <w:r>
        <w:br w:type="page"/>
      </w:r>
    </w:p>
    <w:p>
      <w:pPr>
        <w:spacing w:after="80" w:before="320"/>
        <w:jc w:val="left"/>
      </w:pPr>
      <w:r>
        <w:rPr>
          <w:rFonts w:ascii="Arial" w:cs="Arial" w:eastAsia="Arial" w:hAnsi="Arial"/>
          <w:b/>
          <w:bCs/>
          <w:color w:val="1F6FEB"/>
          <w:sz w:val="24"/>
          <w:szCs w:val="24"/>
        </w:rPr>
        <w:t xml:space="preserve">09 · </w:t>
      </w:r>
      <w:r>
        <w:rPr>
          <w:rFonts w:ascii="Arial" w:cs="Arial" w:eastAsia="Arial" w:hAnsi="Arial"/>
          <w:b/>
          <w:bCs/>
          <w:color w:val="0B2545"/>
          <w:sz w:val="24"/>
          <w:szCs w:val="24"/>
        </w:rPr>
        <w:t xml:space="preserve">Roadmap to adoption</w:t>
      </w:r>
    </w:p>
    <w:p>
      <w:pPr>
        <w:pBdr>
          <w:bottom w:val="single" w:color="1F6FEB" w:sz="12" w:space="1"/>
        </w:pBdr>
        <w:spacing w:after="160" w:before="0"/>
      </w:pPr>
      <w:r>
        <w:rPr>
          <w:rFonts w:ascii="Arial" w:cs="Arial" w:eastAsia="Arial" w:hAnsi="Arial"/>
          <w:sz w:val="2"/>
          <w:szCs w:val="2"/>
        </w:rPr>
        <w:t xml:space="preserve"/>
      </w:r>
    </w:p>
    <w:p>
      <w:pPr>
        <w:pStyle w:val="Heading3"/>
        <w:spacing w:after="120" w:before="220"/>
      </w:pPr>
      <w:r>
        <w:rPr>
          <w:rFonts w:ascii="Arial" w:cs="Arial" w:eastAsia="Arial" w:hAnsi="Arial"/>
          <w:b/>
          <w:bCs/>
          <w:color w:val="212121"/>
          <w:sz w:val="23"/>
          <w:szCs w:val="23"/>
        </w:rPr>
        <w:t xml:space="preserve">Stage 1 — Adopt BCP (Months 1–3)</w:t>
      </w:r>
    </w:p>
    <w:p>
      <w:pPr>
        <w:pStyle w:val="ListParagraph"/>
        <w:numPr>
          <w:ilvl w:val="0"/>
          <w:numId w:val="3"/>
        </w:numPr>
        <w:spacing w:after="40" w:before="40" w:line="280"/>
      </w:pPr>
      <w:r>
        <w:rPr>
          <w:rFonts w:ascii="Arial" w:cs="Arial" w:eastAsia="Arial" w:hAnsi="Arial"/>
          <w:sz w:val="22"/>
          <w:szCs w:val="22"/>
        </w:rPr>
        <w:t xml:space="preserve">Pilot the open-sourced BCP counter on two squads.</w:t>
      </w:r>
    </w:p>
    <w:p>
      <w:pPr>
        <w:pStyle w:val="ListParagraph"/>
        <w:numPr>
          <w:ilvl w:val="0"/>
          <w:numId w:val="3"/>
        </w:numPr>
        <w:spacing w:after="40" w:before="40" w:line="280"/>
      </w:pPr>
      <w:r>
        <w:rPr>
          <w:rFonts w:ascii="Arial" w:cs="Arial" w:eastAsia="Arial" w:hAnsi="Arial"/>
          <w:sz w:val="22"/>
          <w:szCs w:val="22"/>
        </w:rPr>
        <w:t xml:space="preserve">Establish a paired-baseline dataset (manual vs. automated counts) of ≥ 40 stories.</w:t>
      </w:r>
    </w:p>
    <w:p>
      <w:pPr>
        <w:pStyle w:val="ListParagraph"/>
        <w:numPr>
          <w:ilvl w:val="0"/>
          <w:numId w:val="3"/>
        </w:numPr>
        <w:spacing w:after="40" w:before="40" w:line="280"/>
      </w:pPr>
      <w:r>
        <w:rPr>
          <w:rFonts w:ascii="Arial" w:cs="Arial" w:eastAsia="Arial" w:hAnsi="Arial"/>
          <w:sz w:val="22"/>
          <w:szCs w:val="22"/>
        </w:rPr>
        <w:t xml:space="preserve">Stand up an H/BCP dashboard at squad level.</w:t>
      </w:r>
    </w:p>
    <w:p>
      <w:pPr>
        <w:pStyle w:val="Heading3"/>
        <w:spacing w:after="120" w:before="220"/>
      </w:pPr>
      <w:r>
        <w:rPr>
          <w:rFonts w:ascii="Arial" w:cs="Arial" w:eastAsia="Arial" w:hAnsi="Arial"/>
          <w:b/>
          <w:bCs/>
          <w:color w:val="212121"/>
          <w:sz w:val="23"/>
          <w:szCs w:val="23"/>
        </w:rPr>
        <w:t xml:space="preserve">Stage 2 — Extend to BCP Plus (Months 4–6)</w:t>
      </w:r>
    </w:p>
    <w:p>
      <w:pPr>
        <w:pStyle w:val="ListParagraph"/>
        <w:numPr>
          <w:ilvl w:val="0"/>
          <w:numId w:val="3"/>
        </w:numPr>
        <w:spacing w:after="40" w:before="40" w:line="280"/>
      </w:pPr>
      <w:r>
        <w:rPr>
          <w:rFonts w:ascii="Arial" w:cs="Arial" w:eastAsia="Arial" w:hAnsi="Arial"/>
          <w:sz w:val="22"/>
          <w:szCs w:val="22"/>
        </w:rPr>
        <w:t xml:space="preserve">Layer the three NFR dimensions onto the same pilot squads.</w:t>
      </w:r>
    </w:p>
    <w:p>
      <w:pPr>
        <w:pStyle w:val="ListParagraph"/>
        <w:numPr>
          <w:ilvl w:val="0"/>
          <w:numId w:val="3"/>
        </w:numPr>
        <w:spacing w:after="40" w:before="40" w:line="280"/>
      </w:pPr>
      <w:r>
        <w:rPr>
          <w:rFonts w:ascii="Arial" w:cs="Arial" w:eastAsia="Arial" w:hAnsi="Arial"/>
          <w:sz w:val="22"/>
          <w:szCs w:val="22"/>
        </w:rPr>
        <w:t xml:space="preserve">Train estimators on the NFR sizing tables.</w:t>
      </w:r>
    </w:p>
    <w:p>
      <w:pPr>
        <w:pStyle w:val="ListParagraph"/>
        <w:numPr>
          <w:ilvl w:val="0"/>
          <w:numId w:val="3"/>
        </w:numPr>
        <w:spacing w:after="40" w:before="40" w:line="280"/>
      </w:pPr>
      <w:r>
        <w:rPr>
          <w:rFonts w:ascii="Arial" w:cs="Arial" w:eastAsia="Arial" w:hAnsi="Arial"/>
          <w:sz w:val="22"/>
          <w:szCs w:val="22"/>
        </w:rPr>
        <w:t xml:space="preserve">Add NFR Ratio to portfolio reporting.</w:t>
      </w:r>
    </w:p>
    <w:p>
      <w:pPr>
        <w:pStyle w:val="Heading3"/>
        <w:spacing w:after="120" w:before="220"/>
      </w:pPr>
      <w:r>
        <w:rPr>
          <w:rFonts w:ascii="Arial" w:cs="Arial" w:eastAsia="Arial" w:hAnsi="Arial"/>
          <w:b/>
          <w:bCs/>
          <w:color w:val="212121"/>
          <w:sz w:val="23"/>
          <w:szCs w:val="23"/>
        </w:rPr>
        <w:t xml:space="preserve">Stage 3 — Stabilise the AI counter (Months 7–9)</w:t>
      </w:r>
    </w:p>
    <w:p>
      <w:pPr>
        <w:pStyle w:val="ListParagraph"/>
        <w:numPr>
          <w:ilvl w:val="0"/>
          <w:numId w:val="3"/>
        </w:numPr>
        <w:spacing w:after="40" w:before="40" w:line="280"/>
      </w:pPr>
      <w:r>
        <w:rPr>
          <w:rFonts w:ascii="Arial" w:cs="Arial" w:eastAsia="Arial" w:hAnsi="Arial"/>
          <w:sz w:val="22"/>
          <w:szCs w:val="22"/>
        </w:rPr>
        <w:t xml:space="preserve">Migrate from GPT-4o-mini to a successor LLM.</w:t>
      </w:r>
    </w:p>
    <w:p>
      <w:pPr>
        <w:pStyle w:val="ListParagraph"/>
        <w:numPr>
          <w:ilvl w:val="0"/>
          <w:numId w:val="3"/>
        </w:numPr>
        <w:spacing w:after="40" w:before="40" w:line="280"/>
      </w:pPr>
      <w:r>
        <w:rPr>
          <w:rFonts w:ascii="Arial" w:cs="Arial" w:eastAsia="Arial" w:hAnsi="Arial"/>
          <w:sz w:val="22"/>
          <w:szCs w:val="22"/>
        </w:rPr>
        <w:t xml:space="preserve">Replay the 43-story protocol; target aggregate CV ≈ 10%.</w:t>
      </w:r>
    </w:p>
    <w:p>
      <w:pPr>
        <w:pStyle w:val="ListParagraph"/>
        <w:numPr>
          <w:ilvl w:val="0"/>
          <w:numId w:val="3"/>
        </w:numPr>
        <w:spacing w:after="40" w:before="40" w:line="280"/>
      </w:pPr>
      <w:r>
        <w:rPr>
          <w:rFonts w:ascii="Arial" w:cs="Arial" w:eastAsia="Arial" w:hAnsi="Arial"/>
          <w:sz w:val="22"/>
          <w:szCs w:val="22"/>
        </w:rPr>
        <w:t xml:space="preserve">Address Boundaries and Solution Variabilities via per-dimension prompt rewrite.</w:t>
      </w:r>
    </w:p>
    <w:p>
      <w:pPr>
        <w:pStyle w:val="Heading3"/>
        <w:spacing w:after="120" w:before="220"/>
      </w:pPr>
      <w:r>
        <w:rPr>
          <w:rFonts w:ascii="Arial" w:cs="Arial" w:eastAsia="Arial" w:hAnsi="Arial"/>
          <w:b/>
          <w:bCs/>
          <w:color w:val="212121"/>
          <w:sz w:val="23"/>
          <w:szCs w:val="23"/>
        </w:rPr>
        <w:t xml:space="preserve">Stage 4 — Scale and govern (Months 10–12)</w:t>
      </w:r>
    </w:p>
    <w:p>
      <w:pPr>
        <w:pStyle w:val="ListParagraph"/>
        <w:numPr>
          <w:ilvl w:val="0"/>
          <w:numId w:val="3"/>
        </w:numPr>
        <w:spacing w:after="40" w:before="40" w:line="280"/>
      </w:pPr>
      <w:r>
        <w:rPr>
          <w:rFonts w:ascii="Arial" w:cs="Arial" w:eastAsia="Arial" w:hAnsi="Arial"/>
          <w:sz w:val="22"/>
          <w:szCs w:val="22"/>
        </w:rPr>
        <w:t xml:space="preserve">Roll out across remaining squads.</w:t>
      </w:r>
    </w:p>
    <w:p>
      <w:pPr>
        <w:pStyle w:val="ListParagraph"/>
        <w:numPr>
          <w:ilvl w:val="0"/>
          <w:numId w:val="3"/>
        </w:numPr>
        <w:spacing w:after="40" w:before="40" w:line="280"/>
      </w:pPr>
      <w:r>
        <w:rPr>
          <w:rFonts w:ascii="Arial" w:cs="Arial" w:eastAsia="Arial" w:hAnsi="Arial"/>
          <w:sz w:val="22"/>
          <w:szCs w:val="22"/>
        </w:rPr>
        <w:t xml:space="preserve">Introduce maturity-score gating in the refinement workflow.</w:t>
      </w:r>
    </w:p>
    <w:p>
      <w:pPr>
        <w:pStyle w:val="ListParagraph"/>
        <w:numPr>
          <w:ilvl w:val="0"/>
          <w:numId w:val="3"/>
        </w:numPr>
        <w:spacing w:after="40" w:before="40" w:line="280"/>
      </w:pPr>
      <w:r>
        <w:rPr>
          <w:rFonts w:ascii="Arial" w:cs="Arial" w:eastAsia="Arial" w:hAnsi="Arial"/>
          <w:sz w:val="22"/>
          <w:szCs w:val="22"/>
        </w:rPr>
        <w:t xml:space="preserve">Embed BCP Plus into vendor contracts and managed-service SLAs.</w:t>
      </w:r>
    </w:p>
    <w:p>
      <w:pPr>
        <w:spacing w:after="80" w:before="240"/>
      </w:pPr>
      <w:r>
        <w:rPr>
          <w:rFonts w:ascii="Arial" w:cs="Arial" w:eastAsia="Arial" w:hAnsi="Arial"/>
          <w:b/>
          <w:bCs/>
          <w:color w:val="1F6FEB"/>
          <w:sz w:val="20"/>
          <w:szCs w:val="20"/>
        </w:rPr>
        <w:t xml:space="preserve">Exhibit 11. </w:t>
      </w:r>
      <w:r>
        <w:rPr>
          <w:rFonts w:ascii="Arial" w:cs="Arial" w:eastAsia="Arial" w:hAnsi="Arial"/>
          <w:b/>
          <w:bCs/>
          <w:color w:val="0B2545"/>
          <w:sz w:val="20"/>
          <w:szCs w:val="20"/>
        </w:rPr>
        <w:t xml:space="preserve">Adoption maturity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820"/>
        <w:gridCol w:w="1820"/>
        <w:gridCol w:w="1820"/>
        <w:gridCol w:w="1820"/>
      </w:tblGrid>
      <w:tr>
        <w:trPr>
          <w:tblHeader/>
        </w:trPr>
        <w:tc>
          <w:tcPr>
            <w:tcW w:type="dxa" w:w="208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Capability</w:t>
            </w:r>
          </w:p>
        </w:tc>
        <w:tc>
          <w:tcPr>
            <w:tcW w:type="dxa" w:w="18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Stage 1</w:t>
            </w:r>
          </w:p>
        </w:tc>
        <w:tc>
          <w:tcPr>
            <w:tcW w:type="dxa" w:w="18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Stage 2</w:t>
            </w:r>
          </w:p>
        </w:tc>
        <w:tc>
          <w:tcPr>
            <w:tcW w:type="dxa" w:w="18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Stage 3</w:t>
            </w:r>
          </w:p>
        </w:tc>
        <w:tc>
          <w:tcPr>
            <w:tcW w:type="dxa" w:w="18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Stage 4</w:t>
            </w:r>
          </w:p>
        </w:tc>
      </w:tr>
      <w:tr>
        <w:trPr>
          <w:tblHeader w:val="false"/>
        </w:trPr>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Manual BCP counts</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Yes</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Yes</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Yes</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Yes</w:t>
            </w:r>
          </w:p>
        </w:tc>
      </w:tr>
      <w:tr>
        <w:trPr>
          <w:tblHeader w:val="false"/>
        </w:trPr>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Automated counter</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 (10 dim)</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 Plus (13)</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 Plus (stab.)</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 Plus (scaled)</w:t>
            </w:r>
          </w:p>
        </w:tc>
      </w:tr>
      <w:tr>
        <w:trPr>
          <w:tblHeader w:val="false"/>
        </w:trPr>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H/BCP dashboard</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Squad</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Squad</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Portfolio</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Portfolio + vendor</w:t>
            </w:r>
          </w:p>
        </w:tc>
      </w:tr>
      <w:tr>
        <w:trPr>
          <w:tblHeader w:val="false"/>
        </w:trPr>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NFR Ratio reporting</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Squad</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Portfolio</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Portfolio + risk</w:t>
            </w:r>
          </w:p>
        </w:tc>
      </w:tr>
      <w:tr>
        <w:trPr>
          <w:tblHeader w:val="false"/>
        </w:trPr>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Maturity-score gating</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Pilot</w:t>
            </w:r>
          </w:p>
        </w:tc>
        <w:tc>
          <w:tcPr>
            <w:tcW w:type="dxa" w:w="18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Enterprise</w:t>
            </w:r>
          </w:p>
        </w:tc>
      </w:tr>
    </w:tbl>
    <w:p>
      <w:pPr>
        <w:spacing w:after="200" w:before="80"/>
      </w:pPr>
      <w:r>
        <w:rPr>
          <w:rFonts w:ascii="Arial" w:cs="Arial" w:eastAsia="Arial" w:hAnsi="Arial"/>
          <w:i/>
          <w:iCs/>
          <w:color w:val="595959"/>
          <w:sz w:val="16"/>
          <w:szCs w:val="16"/>
        </w:rPr>
        <w:t xml:space="preserve">Source: Recommended adoption sequence based on the present empirical evidence.</w:t>
      </w:r>
    </w:p>
    <w:p>
      <w:r>
        <w:br w:type="page"/>
      </w:r>
    </w:p>
    <w:p>
      <w:pPr>
        <w:spacing w:after="80" w:before="320"/>
        <w:jc w:val="left"/>
      </w:pPr>
      <w:r>
        <w:rPr>
          <w:rFonts w:ascii="Arial" w:cs="Arial" w:eastAsia="Arial" w:hAnsi="Arial"/>
          <w:b/>
          <w:bCs/>
          <w:color w:val="1F6FEB"/>
          <w:sz w:val="24"/>
          <w:szCs w:val="24"/>
        </w:rPr>
        <w:t xml:space="preserve">10 · </w:t>
      </w:r>
      <w:r>
        <w:rPr>
          <w:rFonts w:ascii="Arial" w:cs="Arial" w:eastAsia="Arial" w:hAnsi="Arial"/>
          <w:b/>
          <w:bCs/>
          <w:color w:val="0B2545"/>
          <w:sz w:val="24"/>
          <w:szCs w:val="24"/>
        </w:rPr>
        <w:t xml:space="preserve">Risks and unknowns</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We are transparent about the limits of the present evidence base.</w:t>
      </w:r>
    </w:p>
    <w:p>
      <w:pPr>
        <w:pStyle w:val="ListParagraph"/>
        <w:numPr>
          <w:ilvl w:val="0"/>
          <w:numId w:val="3"/>
        </w:numPr>
        <w:spacing w:after="40" w:before="40" w:line="280"/>
      </w:pPr>
      <w:r>
        <w:rPr>
          <w:rFonts w:ascii="Arial" w:cs="Arial" w:eastAsia="Arial" w:hAnsi="Arial"/>
          <w:sz w:val="22"/>
          <w:szCs w:val="22"/>
        </w:rPr>
        <w:t xml:space="preserve">Construct validity: the thirteen dimensions are not perfectly orthogonal — Interface Elements and UX &amp; Accessibility overlap conceptually.</w:t>
      </w:r>
    </w:p>
    <w:p>
      <w:pPr>
        <w:pStyle w:val="ListParagraph"/>
        <w:numPr>
          <w:ilvl w:val="0"/>
          <w:numId w:val="3"/>
        </w:numPr>
        <w:spacing w:after="40" w:before="40" w:line="280"/>
      </w:pPr>
      <w:r>
        <w:rPr>
          <w:rFonts w:ascii="Arial" w:cs="Arial" w:eastAsia="Arial" w:hAnsi="Arial"/>
          <w:sz w:val="22"/>
          <w:szCs w:val="22"/>
        </w:rPr>
        <w:t xml:space="preserve">External validity: the baseline is concentrated at one organisation (Itaú) and one delivery model (CI&amp;T). Replication elsewhere is needed.</w:t>
      </w:r>
    </w:p>
    <w:p>
      <w:pPr>
        <w:pStyle w:val="ListParagraph"/>
        <w:numPr>
          <w:ilvl w:val="0"/>
          <w:numId w:val="3"/>
        </w:numPr>
        <w:spacing w:after="40" w:before="40" w:line="280"/>
      </w:pPr>
      <w:r>
        <w:rPr>
          <w:rFonts w:ascii="Arial" w:cs="Arial" w:eastAsia="Arial" w:hAnsi="Arial"/>
          <w:sz w:val="22"/>
          <w:szCs w:val="22"/>
        </w:rPr>
        <w:t xml:space="preserve">Tail coverage: the 43-story baseline is concentrated in the medium band (5–29 BCP). Stability on small (≤4) and very large (≥30) items is not measured.</w:t>
      </w:r>
    </w:p>
    <w:p>
      <w:pPr>
        <w:pStyle w:val="ListParagraph"/>
        <w:numPr>
          <w:ilvl w:val="0"/>
          <w:numId w:val="3"/>
        </w:numPr>
        <w:spacing w:after="40" w:before="40" w:line="280"/>
      </w:pPr>
      <w:r>
        <w:rPr>
          <w:rFonts w:ascii="Arial" w:cs="Arial" w:eastAsia="Arial" w:hAnsi="Arial"/>
          <w:sz w:val="22"/>
          <w:szCs w:val="22"/>
        </w:rPr>
        <w:t xml:space="preserve">Automation bias: LLM suggestions may anchor human estimators, narrowing apparent variance without improving accuracy.</w:t>
      </w:r>
    </w:p>
    <w:p>
      <w:pPr>
        <w:pStyle w:val="ListParagraph"/>
        <w:numPr>
          <w:ilvl w:val="0"/>
          <w:numId w:val="3"/>
        </w:numPr>
        <w:spacing w:after="40" w:before="40" w:line="280"/>
      </w:pPr>
      <w:r>
        <w:rPr>
          <w:rFonts w:ascii="Arial" w:cs="Arial" w:eastAsia="Arial" w:hAnsi="Arial"/>
          <w:sz w:val="22"/>
          <w:szCs w:val="22"/>
        </w:rPr>
        <w:t xml:space="preserve">Model risk: the published counter is locked to GPT-4o-mini. OpenAI's deprecation propagates directly to the open-source community release.</w:t>
      </w:r>
    </w:p>
    <w:p>
      <w:r>
        <w:br w:type="page"/>
      </w:r>
    </w:p>
    <w:p>
      <w:pPr>
        <w:spacing w:after="80" w:before="320"/>
        <w:jc w:val="left"/>
      </w:pPr>
      <w:r>
        <w:rPr>
          <w:rFonts w:ascii="Arial" w:cs="Arial" w:eastAsia="Arial" w:hAnsi="Arial"/>
          <w:b/>
          <w:bCs/>
          <w:color w:val="1F6FEB"/>
          <w:sz w:val="24"/>
          <w:szCs w:val="24"/>
        </w:rPr>
        <w:t xml:space="preserve">11 · </w:t>
      </w:r>
      <w:r>
        <w:rPr>
          <w:rFonts w:ascii="Arial" w:cs="Arial" w:eastAsia="Arial" w:hAnsi="Arial"/>
          <w:b/>
          <w:bCs/>
          <w:color w:val="0B2545"/>
          <w:sz w:val="24"/>
          <w:szCs w:val="24"/>
        </w:rPr>
        <w:t xml:space="preserve">How we can help</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Our software sizing practice supports clients across four engagement archetypes, scaled to the maturity stages set out in Section 9.</w:t>
      </w:r>
    </w:p>
    <w:p>
      <w:pPr>
        <w:spacing w:after="80" w:before="240"/>
      </w:pPr>
      <w:r>
        <w:rPr>
          <w:rFonts w:ascii="Arial" w:cs="Arial" w:eastAsia="Arial" w:hAnsi="Arial"/>
          <w:b/>
          <w:bCs/>
          <w:color w:val="1F6FEB"/>
          <w:sz w:val="20"/>
          <w:szCs w:val="20"/>
        </w:rPr>
        <w:t xml:space="preserve">Exhibit 12. </w:t>
      </w:r>
      <w:r>
        <w:rPr>
          <w:rFonts w:ascii="Arial" w:cs="Arial" w:eastAsia="Arial" w:hAnsi="Arial"/>
          <w:b/>
          <w:bCs/>
          <w:color w:val="0B2545"/>
          <w:sz w:val="20"/>
          <w:szCs w:val="20"/>
        </w:rPr>
        <w:t xml:space="preserve">Engagement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Archetype</w:t>
            </w:r>
          </w:p>
        </w:tc>
        <w:tc>
          <w:tcPr>
            <w:tcW w:type="dxa" w:w="702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What it delivers</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Diagnostic</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Two-week diagnostic of the client's existing estimation practice, with quantitative comparison against an internal BCP / BCP Plus baseline of 30+ stories and a board-ready findings deck.</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Pilot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Three-month pilot deploying the open-sourced BCP counter and the BCP Plus extension on two squads, with paired-baseline reporting and a maturity-score governance overlay.</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Scaled deployment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Nine- to twelve-month deployment programme across the technology organisation, including model-migration support, vendor-contract refresh, and audit-committee artefacts.</w:t>
            </w:r>
          </w:p>
        </w:tc>
      </w:tr>
      <w:tr>
        <w:trPr>
          <w:tblHeader w:val="false"/>
        </w:trP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Assurance review</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Independent assurance opinion on the client's estimation practice, suitable for inclusion in internal audit reports and regulatory filings.</w:t>
            </w:r>
          </w:p>
        </w:tc>
      </w:tr>
    </w:tbl>
    <w:p>
      <w:pPr>
        <w:spacing w:after="200" w:before="80"/>
      </w:pPr>
      <w:r>
        <w:rPr>
          <w:rFonts w:ascii="Arial" w:cs="Arial" w:eastAsia="Arial" w:hAnsi="Arial"/>
          <w:i/>
          <w:iCs/>
          <w:color w:val="595959"/>
          <w:sz w:val="16"/>
          <w:szCs w:val="16"/>
        </w:rPr>
        <w:t xml:space="preserve">Source: Engagement archetypes — software sizing practice.</w:t>
      </w:r>
    </w:p>
    <w:p>
      <w:r>
        <w:br w:type="page"/>
      </w:r>
    </w:p>
    <w:p>
      <w:pPr>
        <w:spacing w:after="80" w:before="320"/>
        <w:jc w:val="left"/>
      </w:pPr>
      <w:r>
        <w:rPr>
          <w:rFonts w:ascii="Arial" w:cs="Arial" w:eastAsia="Arial" w:hAnsi="Arial"/>
          <w:b/>
          <w:bCs/>
          <w:color w:val="1F6FEB"/>
          <w:sz w:val="24"/>
          <w:szCs w:val="24"/>
        </w:rPr>
        <w:t xml:space="preserve">Author · </w:t>
      </w:r>
      <w:r>
        <w:rPr>
          <w:rFonts w:ascii="Arial" w:cs="Arial" w:eastAsia="Arial" w:hAnsi="Arial"/>
          <w:b/>
          <w:bCs/>
          <w:color w:val="0B2545"/>
          <w:sz w:val="24"/>
          <w:szCs w:val="24"/>
        </w:rPr>
        <w:t xml:space="preserve">About the author</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b/>
          <w:bCs/>
          <w:sz w:val="22"/>
          <w:szCs w:val="22"/>
        </w:rPr>
        <w:t xml:space="preserve">Daniel Vieira Magalhães</w:t>
      </w:r>
      <w:r>
        <w:rPr>
          <w:rFonts w:ascii="Arial" w:cs="Arial" w:eastAsia="Arial" w:hAnsi="Arial"/>
          <w:sz w:val="22"/>
          <w:szCs w:val="22"/>
        </w:rPr>
        <w:t xml:space="preserve"> is Head of Operations at CI&amp;T. He is responsible for the delivery operating model that underpins CI&amp;T's engagements across financial services, retail and the public sector, with executive accountability for capacity planning, productivity measurement, and the integration of generative AI into engineering operations. His current focus is the unit-of-measurement problem in software estimation and the operational changes required to translate AI productivity gains into defensible commercial commitments.</w:t>
      </w:r>
    </w:p>
    <w:p>
      <w:pPr>
        <w:spacing w:after="120" w:before="80" w:line="300"/>
        <w:jc w:val="both"/>
      </w:pPr>
      <w:r>
        <w:rPr>
          <w:rFonts w:ascii="Arial" w:cs="Arial" w:eastAsia="Arial" w:hAnsi="Arial"/>
          <w:sz w:val="22"/>
          <w:szCs w:val="22"/>
        </w:rPr>
        <w:t xml:space="preserve">Daniel can be contacted at danielvm@ciandt.com.</w:t>
      </w:r>
    </w:p>
    <w:p>
      <w:r>
        <w:br w:type="page"/>
      </w:r>
    </w:p>
    <w:p>
      <w:pPr>
        <w:spacing w:after="80" w:before="320"/>
        <w:jc w:val="left"/>
      </w:pPr>
      <w:r>
        <w:rPr>
          <w:rFonts w:ascii="Arial" w:cs="Arial" w:eastAsia="Arial" w:hAnsi="Arial"/>
          <w:b/>
          <w:bCs/>
          <w:color w:val="1F6FEB"/>
          <w:sz w:val="24"/>
          <w:szCs w:val="24"/>
        </w:rPr>
        <w:t xml:space="preserve">Endnotes · </w:t>
      </w:r>
      <w:r>
        <w:rPr>
          <w:rFonts w:ascii="Arial" w:cs="Arial" w:eastAsia="Arial" w:hAnsi="Arial"/>
          <w:b/>
          <w:bCs/>
          <w:color w:val="0B2545"/>
          <w:sz w:val="24"/>
          <w:szCs w:val="24"/>
        </w:rPr>
        <w:t xml:space="preserve">Sources and further reading</w:t>
      </w:r>
    </w:p>
    <w:p>
      <w:pPr>
        <w:pBdr>
          <w:bottom w:val="single" w:color="1F6FEB" w:sz="12" w:space="1"/>
        </w:pBdr>
        <w:spacing w:after="160" w:before="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w:t>
            </w:r>
          </w:p>
        </w:tc>
        <w:tc>
          <w:tcPr>
            <w:tcW w:type="dxa" w:w="87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Source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CI&amp;T. (2015). CI&amp;T Business Complexity Points. Available at ciandt.com/au/en-au/complexitypoints. Original publication under CC BY-NC-ND 4.0.</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TI INSIDE Online. (2026, 21 May). CI&amp;T e Itaú lançam framework open source para medir complexidade de software.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IT Forum. (2026, 21 May). CI&amp;T e Itaú lançam ferramenta aberta para medir complexidade de projetos de software.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CI&amp;T Internal Working Group (Flow team). (2026, April). BCP Scope Counting — 13 dimensões: Funcionais + Não-Funcionais. Análise de Estabilidade (CV) e Plano de Ação. Internal evaluation deck.</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CI&amp;T Internal Working Group. (2026). 43StoriesBaseline.csv — baseline of 43 production user stories with human-assigned BCP Final Size.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IFPUG. (2010). Function Point Counting Practices Manual, Release 4.3.1.</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7</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IFPUG. (2013). SNAP Assessment Practices Manual, Release 2.4.</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Albrecht, A. J. (1979). Measuring application development productivity. Proceedings of the IBM Application Development Symposium, 83–92.</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Cohn, M. (2005). Agile Estimating and Planning. Prentice Hall.</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10</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Usman, M., Mendes, E., Weidt, F., &amp; Britto, R. (2014). Effort estimation in agile software development: a systematic literature review. PROMISE 2014.</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11</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Tawosi, V., Moussa, R., &amp; Sarro, F. (2023). Agile effort estimation: have we solved the problem yet? Insights from a replication study. IEEE Transactions on Software Engineering.</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12</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W3C. (2018). Web Content Accessibility Guidelines (WCAG) 2.1.</w:t>
            </w:r>
          </w:p>
        </w:tc>
      </w:tr>
    </w:tbl>
    <w:p>
      <w:pPr>
        <w:spacing w:after="200" w:before="600"/>
      </w:pPr>
      <w:r>
        <w:rPr>
          <w:rFonts w:ascii="Arial" w:cs="Arial" w:eastAsia="Arial" w:hAnsi="Arial"/>
          <w:b/>
          <w:bCs/>
          <w:color w:val="595959"/>
          <w:sz w:val="18"/>
          <w:szCs w:val="18"/>
        </w:rPr>
        <w:t xml:space="preserve">Important notice</w:t>
      </w:r>
    </w:p>
    <w:p>
      <w:pPr>
        <w:spacing w:after="80" w:before="0" w:line="260"/>
        <w:jc w:val="both"/>
      </w:pPr>
      <w:r>
        <w:rPr>
          <w:rFonts w:ascii="Arial" w:cs="Arial" w:eastAsia="Arial" w:hAnsi="Arial"/>
          <w:i/>
          <w:iCs/>
          <w:color w:val="595959"/>
          <w:sz w:val="16"/>
          <w:szCs w:val="16"/>
        </w:rPr>
        <w:t xml:space="preserve">This document has been prepared by the author in his capacity as a member of CI&amp;T's CPS Body of Knowledge working group, on the basis of publicly available information and CI&amp;T internal evaluation materials referenced in the endnotes. It is intended for general informational purposes only, and does not constitute professional advice. No action should be taken in reliance on this document without obtaining specific professional advice in respect of the circumstances of the matter under consideration. To the extent permitted by law, no liability is accepted for any loss arising from reliance on the information contained herein. The views expressed are those of the author and do not necessarily represent the views of CI&amp;T, Itaú Unibanco, or any other organisation referenced in the text.</w:t>
      </w:r>
    </w:p>
    <w:p>
      <w:pPr>
        <w:spacing w:after="0" w:before="80" w:line="260"/>
        <w:jc w:val="both"/>
      </w:pPr>
      <w:r>
        <w:rPr>
          <w:rFonts w:ascii="Arial" w:cs="Arial" w:eastAsia="Arial" w:hAnsi="Arial"/>
          <w:i/>
          <w:iCs/>
          <w:color w:val="595959"/>
          <w:sz w:val="16"/>
          <w:szCs w:val="16"/>
        </w:rPr>
        <w:t xml:space="preserve">© 2026 Daniel Vieira Magalhães. "BCP" and "Business Complexity Points" are frameworks created by CI&amp;T; the May 2026 open-source release is licensed under the MIT License. "BCP Plus," "BCP-NFR" and "BCP Scope Counting" are internal designations referenced in this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 2026 Daniel Vieira Magalhães · For discussion only</w:t>
    </w:r>
    <w:r>
      <w:rPr>
        <w:rFonts w:ascii="Arial" w:cs="Arial" w:eastAsia="Arial" w:hAnsi="Arial"/>
        <w:sz w:val="16"/>
        <w:szCs w:val="16"/>
      </w:rPr>
      <w:t xml:space="preserve">	</w:t>
    </w:r>
    <w:r>
      <w:rPr>
        <w:rFonts w:ascii="Arial" w:cs="Arial" w:eastAsia="Arial" w:hAnsi="Arial"/>
        <w:b/>
        <w:bCs/>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0B2545"/>
        <w:sz w:val="18"/>
        <w:szCs w:val="18"/>
      </w:rPr>
      <w:t xml:space="preserve">BCP Plus  |  Insight Series</w:t>
    </w:r>
    <w:r>
      <w:rPr>
        <w:rFonts w:ascii="Arial" w:cs="Arial" w:eastAsia="Arial" w:hAnsi="Arial"/>
        <w:i/>
        <w:iCs/>
        <w:color w:val="595959"/>
        <w:sz w:val="18"/>
        <w:szCs w:val="18"/>
      </w:rPr>
      <w:t xml:space="preserve">	A methodology whitepaper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6FEB"/>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121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BCP Plus — Insight Series Whitepaper</dc:title>
  <dc:creator>Daniel Vieira Magalhães</dc:creator>
  <dc:description>BCP Plus methodology whitepaper in Big Four advisory style — blueprint of the 13-dimension next-step update beyond the May 2026 CI&amp;T + Itaú open-source release of BCP.</dc:description>
  <cp:lastModifiedBy>Un-named</cp:lastModifiedBy>
  <cp:revision>1</cp:revision>
  <dcterms:created xsi:type="dcterms:W3CDTF">2026-05-23T01:54:17.080Z</dcterms:created>
  <dcterms:modified xsi:type="dcterms:W3CDTF">2026-05-23T01:54:17.081Z</dcterms:modified>
</cp:coreProperties>
</file>

<file path=docProps/custom.xml><?xml version="1.0" encoding="utf-8"?>
<Properties xmlns="http://schemas.openxmlformats.org/officeDocument/2006/custom-properties" xmlns:vt="http://schemas.openxmlformats.org/officeDocument/2006/docPropsVTypes"/>
</file>