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52ED" w14:textId="77777777" w:rsidR="001F1417" w:rsidRDefault="001F1417">
      <w:pPr>
        <w:spacing w:after="900"/>
      </w:pPr>
    </w:p>
    <w:p w14:paraId="53F8392B" w14:textId="77777777" w:rsidR="001F1417" w:rsidRDefault="00000000">
      <w:pPr>
        <w:spacing w:after="160"/>
        <w:jc w:val="center"/>
      </w:pPr>
      <w:r>
        <w:rPr>
          <w:b/>
          <w:bCs/>
          <w:color w:val="4A2A75"/>
        </w:rPr>
        <w:t>PROBLEM STATEMENT</w:t>
      </w:r>
    </w:p>
    <w:p w14:paraId="74B6161D" w14:textId="77777777" w:rsidR="001F1417" w:rsidRDefault="00000000">
      <w:pPr>
        <w:spacing w:after="100"/>
        <w:jc w:val="center"/>
      </w:pPr>
      <w:r>
        <w:rPr>
          <w:b/>
          <w:bCs/>
          <w:color w:val="3A3A3A"/>
          <w:sz w:val="48"/>
          <w:szCs w:val="48"/>
        </w:rPr>
        <w:t>BD Logística</w:t>
      </w:r>
    </w:p>
    <w:p w14:paraId="087B3B2B" w14:textId="77777777" w:rsidR="001F1417" w:rsidRDefault="00000000">
      <w:pPr>
        <w:spacing w:after="60"/>
        <w:jc w:val="center"/>
      </w:pPr>
      <w:r>
        <w:rPr>
          <w:i/>
          <w:iCs/>
          <w:color w:val="666666"/>
          <w:sz w:val="26"/>
          <w:szCs w:val="26"/>
        </w:rPr>
        <w:t>Uma História de Dados, Diagnóstico e Proposta</w:t>
      </w:r>
    </w:p>
    <w:p w14:paraId="7A9991FF" w14:textId="77777777" w:rsidR="001F1417" w:rsidRDefault="00000000">
      <w:pPr>
        <w:spacing w:after="700"/>
        <w:jc w:val="center"/>
      </w:pPr>
      <w:r>
        <w:rPr>
          <w:color w:val="888888"/>
          <w:sz w:val="19"/>
          <w:szCs w:val="19"/>
        </w:rPr>
        <w:t>A origem, o problema e a proposta de solução por trás deste projeto de portfólio</w:t>
      </w:r>
    </w:p>
    <w:p w14:paraId="7082D85F" w14:textId="77777777" w:rsidR="001F141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60616B" wp14:editId="7C86045C">
            <wp:extent cx="3838575" cy="2152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B4B6" w14:textId="77777777" w:rsidR="001F1417" w:rsidRDefault="001F1417">
      <w:pPr>
        <w:spacing w:after="500"/>
      </w:pPr>
    </w:p>
    <w:p w14:paraId="1728A23B" w14:textId="77777777" w:rsidR="001F1417" w:rsidRDefault="00000000">
      <w:pPr>
        <w:jc w:val="center"/>
      </w:pPr>
      <w:r>
        <w:rPr>
          <w:color w:val="888888"/>
          <w:sz w:val="18"/>
          <w:szCs w:val="18"/>
        </w:rPr>
        <w:t>Projeto de Portfólio em Análise de Dados, Performance e Processos</w:t>
      </w:r>
    </w:p>
    <w:p w14:paraId="0CE46B6E" w14:textId="77777777" w:rsidR="001F1417" w:rsidRDefault="00000000">
      <w:r>
        <w:br w:type="page"/>
      </w:r>
    </w:p>
    <w:p w14:paraId="31FA2511" w14:textId="77777777" w:rsidR="001F1417" w:rsidRDefault="00000000">
      <w:pPr>
        <w:pStyle w:val="Ttulo2"/>
      </w:pPr>
      <w:r>
        <w:lastRenderedPageBreak/>
        <w:t>Como Tudo Começou</w:t>
      </w:r>
    </w:p>
    <w:p w14:paraId="646CC94D" w14:textId="77777777" w:rsidR="001F1417" w:rsidRDefault="00000000">
      <w:pPr>
        <w:spacing w:after="200" w:line="300" w:lineRule="auto"/>
        <w:jc w:val="both"/>
      </w:pPr>
      <w:r>
        <w:t xml:space="preserve">Este projeto não nasceu de um briefing corporativo. Nasceu de uma base de dados pública, encontrada durante um processo de estudo, e de uma pergunta simples: o que esses números têm para contar? Comecei tratando a base — organizando colunas, corrigindo formatos de data, separando campos compostos — sem um </w:t>
      </w:r>
      <w:proofErr w:type="gramStart"/>
      <w:r>
        <w:t>destino final</w:t>
      </w:r>
      <w:proofErr w:type="gramEnd"/>
      <w:r>
        <w:t xml:space="preserve"> muito claro. Mas à medida que o tratamento avançava e as primeiras medidas começavam a tomar forma, ficou evidente que ali havia mais do que um exercício técnico: havia a matéria-prima para um portfólio real de Análise de Dados, Performance e Processos, construído do jeito que o trabalho realmente acontece no mercado — do dado bruto e desorganizado até a recomendação estratégica.</w:t>
      </w:r>
    </w:p>
    <w:p w14:paraId="3C737DCB" w14:textId="77777777" w:rsidR="001F1417" w:rsidRDefault="00000000">
      <w:pPr>
        <w:spacing w:after="200" w:line="300" w:lineRule="auto"/>
        <w:jc w:val="both"/>
      </w:pPr>
      <w:r>
        <w:t xml:space="preserve">Foi nesse momento que decidi ir além do tratamento técnico e dar um propósito de negócio ao projeto. Assumi, como exercício deliberado, a postura de quem foi contratado para diagnosticar e propor soluções para uma operação logística real — a empresa que, neste estudo, chamo de </w:t>
      </w:r>
      <w:r>
        <w:rPr>
          <w:b/>
          <w:bCs/>
        </w:rPr>
        <w:t>BD Logística</w:t>
      </w:r>
      <w:r>
        <w:t xml:space="preserve">. A partir </w:t>
      </w:r>
      <w:proofErr w:type="gramStart"/>
      <w:r>
        <w:t>dali, cada</w:t>
      </w:r>
      <w:proofErr w:type="gramEnd"/>
      <w:r>
        <w:t xml:space="preserve"> etapa do trabalho passou a seguir a lógica de uma consultoria de dados de ponta a ponta: entender o negócio, construir os indicadores certos, diagnosticar as causas raiz e transformar tudo isso em um plano de ação defensável.</w:t>
      </w:r>
    </w:p>
    <w:p w14:paraId="35ADA106" w14:textId="77777777" w:rsidR="001F1417" w:rsidRDefault="00000000">
      <w:pPr>
        <w:pStyle w:val="Ttulo2"/>
      </w:pPr>
      <w:r>
        <w:t>Aviso Legal e Isenção de Responsabilidade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F1417" w14:paraId="6D38806F" w14:textId="77777777">
        <w:tc>
          <w:tcPr>
            <w:tcW w:w="0" w:type="auto"/>
            <w:tcBorders>
              <w:left w:val="single" w:sz="24" w:space="0" w:color="6C3FA8"/>
            </w:tcBorders>
            <w:shd w:val="clear" w:color="auto" w:fill="F2F0F7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61073992" w14:textId="77777777" w:rsidR="001F1417" w:rsidRDefault="00000000">
            <w:pPr>
              <w:jc w:val="center"/>
            </w:pPr>
            <w:r>
              <w:rPr>
                <w:b/>
                <w:bCs/>
                <w:i/>
                <w:iCs/>
                <w:color w:val="4A2A75"/>
                <w:sz w:val="21"/>
                <w:szCs w:val="21"/>
              </w:rPr>
              <w:t>Os dados utilizados são de origem pública e este material tem finalidade exclusivamente educacional e demonstrativa de portfólio técnico.</w:t>
            </w:r>
          </w:p>
        </w:tc>
      </w:tr>
    </w:tbl>
    <w:p w14:paraId="2BA41FD5" w14:textId="77777777" w:rsidR="001F1417" w:rsidRDefault="001F1417">
      <w:pPr>
        <w:spacing w:after="260"/>
      </w:pPr>
    </w:p>
    <w:p w14:paraId="5265EB72" w14:textId="77777777" w:rsidR="001F1417" w:rsidRDefault="00000000">
      <w:pPr>
        <w:spacing w:after="200" w:line="300" w:lineRule="auto"/>
        <w:jc w:val="both"/>
      </w:pPr>
      <w:r>
        <w:t>Os dados que fundamentam este estudo de caso têm origem pública e foram tratados e analisados para fins exclusivamente educacionais e de desenvolvimento profissional, no contexto da elaboração de um portfólio técnico em Análise de Dados, Performance e Processos. O autor declara não possuir qualquer vínculo, associação, relação contratual ou conhecimento factual sobre a empresa, marca, cliente, colaborador ou qualquer outra entidade eventualmente nominada ao longo deste material, tampouco sobre a veracidade, precisão, integridade ou origem real das informações constantes na base de dados original.</w:t>
      </w:r>
    </w:p>
    <w:p w14:paraId="2B064FAE" w14:textId="77777777" w:rsidR="001F1417" w:rsidRDefault="00000000">
      <w:pPr>
        <w:spacing w:after="200" w:line="300" w:lineRule="auto"/>
        <w:jc w:val="both"/>
      </w:pPr>
      <w:r>
        <w:t xml:space="preserve">Toda e qualquer menção a nomes de empresas, clientes, motoristas, destinos ou quaisquer outras entidades — sejam elas reais, fictícias, anonimizadas ou de identificação incerta — deve ser interpretada estrita e exclusivamente como </w:t>
      </w:r>
      <w:r>
        <w:rPr>
          <w:b/>
          <w:bCs/>
        </w:rPr>
        <w:t>recurso didático-narrativo</w:t>
      </w:r>
      <w:r>
        <w:t>, não configurando afirmação, alegação, juízo de valor ou vínculo com pessoas físicas ou jurídicas reais. Este documento e os demais materiais que compõem este projeto não constituem relatório contábil, auditoria financeira, laudo técnico-pericial, parecer jurídico ou qualquer outra peça dotada de validade legal, contratual ou probatória, e não devem ser utilizados como base para decisões de natureza jurídica, financeira ou comercial fora do contexto de portfólio profissional aqui descrito.</w:t>
      </w:r>
    </w:p>
    <w:p w14:paraId="2C2B82D4" w14:textId="77777777" w:rsidR="001F1417" w:rsidRDefault="00000000">
      <w:pPr>
        <w:pStyle w:val="Ttulo2"/>
      </w:pPr>
      <w:r>
        <w:t>O Que os Números Contavam</w:t>
      </w:r>
    </w:p>
    <w:p w14:paraId="1C46D6D6" w14:textId="77777777" w:rsidR="001F1417" w:rsidRDefault="00000000">
      <w:pPr>
        <w:spacing w:after="200" w:line="300" w:lineRule="auto"/>
        <w:jc w:val="both"/>
      </w:pPr>
      <w:r>
        <w:t xml:space="preserve">As primeiras medidas de faturamento já sugeriam uma narrativa e tanto: um </w:t>
      </w:r>
      <w:r>
        <w:rPr>
          <w:b/>
          <w:bCs/>
        </w:rPr>
        <w:t>crescimento expressivo no segundo ano</w:t>
      </w:r>
      <w:r>
        <w:t xml:space="preserve"> da série histórica, seguido por uma </w:t>
      </w:r>
      <w:r>
        <w:rPr>
          <w:b/>
          <w:bCs/>
          <w:color w:val="FF6B5B"/>
        </w:rPr>
        <w:t>queda acentuada no terceiro</w:t>
      </w:r>
      <w:r>
        <w:t xml:space="preserve">. Isolado, esse movimento poderia ser lido como sazonalidade de mercado, efeito de um ciclo econômico ou simples variação de carteira de clientes. Mas a curiosidade — e o instinto de quem estava tratando cada linha daquela base — pedia uma </w:t>
      </w:r>
      <w:r>
        <w:lastRenderedPageBreak/>
        <w:t xml:space="preserve">pergunta mais incômoda: será que a queda também tinha origem </w:t>
      </w:r>
      <w:r>
        <w:rPr>
          <w:b/>
          <w:bCs/>
        </w:rPr>
        <w:t>dentro</w:t>
      </w:r>
      <w:r>
        <w:t xml:space="preserve"> da operação, e não apenas fora dela?</w:t>
      </w:r>
    </w:p>
    <w:p w14:paraId="64AC7EB8" w14:textId="77777777" w:rsidR="001F1417" w:rsidRDefault="00000000">
      <w:pPr>
        <w:spacing w:after="200" w:line="300" w:lineRule="auto"/>
        <w:jc w:val="both"/>
      </w:pPr>
      <w:r>
        <w:t xml:space="preserve">Foi para responder a essa pergunta que comecei a construir os indicadores de performance logística — OTD, OTIF, Lead Time Interno, Transit Time,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Time — a partir do zero, cruzando pedido a pedido, motorista a motorista, destino a destino. E foi ali, indicador após indicador, que o retrato real da operação começou a emergir. Não era apenas uma queda de mercado. Era uma operação estruturalmente doente.</w:t>
      </w:r>
    </w:p>
    <w:p w14:paraId="488654C6" w14:textId="77777777" w:rsidR="001F1417" w:rsidRDefault="00000000">
      <w:pPr>
        <w:pStyle w:val="Ttulo2"/>
      </w:pPr>
      <w:r>
        <w:t>Um Diagnóstico Catastrófico</w:t>
      </w:r>
    </w:p>
    <w:p w14:paraId="646F1A67" w14:textId="77777777" w:rsidR="001F1417" w:rsidRDefault="00000000">
      <w:pPr>
        <w:spacing w:after="200" w:line="300" w:lineRule="auto"/>
        <w:jc w:val="both"/>
      </w:pPr>
      <w:r>
        <w:t xml:space="preserve">Não há outra palavra adequada para o que os dados revelaram: </w:t>
      </w:r>
      <w:r>
        <w:rPr>
          <w:b/>
          <w:bCs/>
        </w:rPr>
        <w:t>catastrófico</w:t>
      </w:r>
      <w:r>
        <w:t xml:space="preserve">. Sob o prazo comercial prometido de 10 dias, </w:t>
      </w:r>
      <w:r>
        <w:rPr>
          <w:b/>
          <w:bCs/>
          <w:color w:val="FF6B5B"/>
        </w:rPr>
        <w:t>73,21% de todos os pedidos chegavam atrasados</w:t>
      </w:r>
      <w:r>
        <w:t xml:space="preserve">. O indicador que resume a entrega perfeita — no prazo, completa e sem avaria — o OTIF, estava em apenas </w:t>
      </w:r>
      <w:r>
        <w:rPr>
          <w:b/>
          <w:bCs/>
          <w:color w:val="FF6B5B"/>
        </w:rPr>
        <w:t>6,89%</w:t>
      </w:r>
      <w:r>
        <w:t>. Isso significa que, de cada 100 pedidos despachados, apenas 7 chegavam exatamente como prometido ao cliente.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F1417" w14:paraId="6F447D46" w14:textId="77777777">
        <w:tc>
          <w:tcPr>
            <w:tcW w:w="0" w:type="auto"/>
            <w:tcBorders>
              <w:left w:val="single" w:sz="24" w:space="0" w:color="6C3FA8"/>
            </w:tcBorders>
            <w:shd w:val="clear" w:color="auto" w:fill="F2F0F7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554BF88" w14:textId="77777777" w:rsidR="001F1417" w:rsidRDefault="00000000">
            <w:pPr>
              <w:jc w:val="center"/>
            </w:pPr>
            <w:r>
              <w:rPr>
                <w:b/>
                <w:bCs/>
                <w:i/>
                <w:iCs/>
                <w:color w:val="4A2A75"/>
                <w:sz w:val="26"/>
                <w:szCs w:val="26"/>
              </w:rPr>
              <w:t>De cada 100 pedidos entregues, apenas 7 chegavam no prazo e sem avarias.</w:t>
            </w:r>
          </w:p>
        </w:tc>
      </w:tr>
    </w:tbl>
    <w:p w14:paraId="3186E177" w14:textId="77777777" w:rsidR="001F1417" w:rsidRDefault="001F1417">
      <w:pPr>
        <w:spacing w:after="260"/>
      </w:pPr>
    </w:p>
    <w:p w14:paraId="1E844F99" w14:textId="77777777" w:rsidR="001F1417" w:rsidRDefault="00000000">
      <w:pPr>
        <w:spacing w:after="200" w:line="300" w:lineRule="auto"/>
        <w:jc w:val="both"/>
      </w:pPr>
      <w:r>
        <w:t>Cruzando os dados de devolução, o quadro ficou ainda mais nítido — e mais grave. Quase três em cada quatro pedidos (</w:t>
      </w:r>
      <w:r>
        <w:rPr>
          <w:b/>
          <w:bCs/>
        </w:rPr>
        <w:t>75,25%</w:t>
      </w:r>
      <w:r>
        <w:t xml:space="preserve">) traziam algum item devolvido, concentrados quase inteiramente em dois motivos: produto errado e produto danificado, juntos responsáveis por </w:t>
      </w:r>
      <w:r>
        <w:rPr>
          <w:b/>
          <w:bCs/>
        </w:rPr>
        <w:t>92,58%</w:t>
      </w:r>
      <w:r>
        <w:t xml:space="preserve"> de todas as devoluções. Isso não falava de um lote ruim ou de um fornecedor específico — falava de um processo de separação e embalagem sem controle sistemático, disseminado por praticamente toda a operação. Somando-se a isso um desequilíbrio expressivo entre motoristas atendendo a mesma rota — uma diferença de até 13 pontos percentuais de atraso entre o melhor e o pior desempenho, sob as mesmas condições —, o diagnóstico apontava não para um problema, mas para </w:t>
      </w:r>
      <w:r>
        <w:rPr>
          <w:b/>
          <w:bCs/>
        </w:rPr>
        <w:t>três gargalos concorrentes</w:t>
      </w:r>
      <w:r>
        <w:t>, cada um mascarando o outro dentro do número agregado de atraso.</w:t>
      </w:r>
    </w:p>
    <w:p w14:paraId="54EE715B" w14:textId="77777777" w:rsidR="001F1417" w:rsidRDefault="00000000">
      <w:r>
        <w:br w:type="page"/>
      </w:r>
    </w:p>
    <w:p w14:paraId="5A7F828E" w14:textId="77777777" w:rsidR="001F1417" w:rsidRDefault="00000000">
      <w:pPr>
        <w:pStyle w:val="Ttulo2"/>
      </w:pPr>
      <w:r>
        <w:lastRenderedPageBreak/>
        <w:t>A Proposta</w:t>
      </w:r>
    </w:p>
    <w:p w14:paraId="68C05AE6" w14:textId="77777777" w:rsidR="001F1417" w:rsidRDefault="00000000">
      <w:pPr>
        <w:spacing w:after="200" w:line="300" w:lineRule="auto"/>
        <w:jc w:val="both"/>
      </w:pPr>
      <w:r>
        <w:t>Diagnosticado o problema, o exercício de consultoria pedia o próximo passo natural: transformar a leitura dos dados em recomendação de negócio. A resposta que construí combina uma ação imediata, de baixíssimo custo, com um programa estrutural de médio prazo:</w:t>
      </w:r>
    </w:p>
    <w:p w14:paraId="366C172D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Calibração do SLA comercial</w:t>
      </w:r>
      <w:r>
        <w:t xml:space="preserve"> de 10 para 15 dias — um ajuste de expectativa, sem qualquer investimento, capaz de reduzir a taxa de atraso de 73,21% para 29,12% e revelar, sob o ruído, os problemas que realmente precisavam de atenção.</w:t>
      </w:r>
    </w:p>
    <w:p w14:paraId="6BC1E938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Programa estruturado de reestruturação de </w:t>
      </w:r>
      <w:proofErr w:type="spellStart"/>
      <w:r>
        <w:rPr>
          <w:b/>
          <w:bCs/>
        </w:rPr>
        <w:t>picking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packing</w:t>
      </w:r>
      <w:proofErr w:type="spellEnd"/>
      <w:r>
        <w:t xml:space="preserve"> (metodologia DMAIC), atacando diretamente as duas causas responsáveis por 92,58% das devoluções.</w:t>
      </w:r>
    </w:p>
    <w:p w14:paraId="091CFB50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Remanejamento de rotas por performance individual</w:t>
      </w:r>
      <w:r>
        <w:t>, redistribuindo motoristas entre destinos com base em dado histórico real, sem custo adicional de frota.</w:t>
      </w:r>
    </w:p>
    <w:p w14:paraId="37E1EA2E" w14:textId="77777777" w:rsidR="001F1417" w:rsidRDefault="00000000">
      <w:pPr>
        <w:spacing w:after="200" w:line="300" w:lineRule="auto"/>
        <w:jc w:val="both"/>
      </w:pPr>
      <w:r>
        <w:t>O resultado é um plano de ação priorizado, com impacto, esforço, prazo e responsável definidos para cada frente — a mesma estrutura que eu entregaria a um cliente real, caso este fosse um projeto contratado. É exatamente esse padrão de entrega, ponta a ponta, que este portfólio busca demonstrar.</w:t>
      </w:r>
    </w:p>
    <w:p w14:paraId="70E1B070" w14:textId="77777777" w:rsidR="001F1417" w:rsidRDefault="00000000">
      <w:pPr>
        <w:pStyle w:val="Ttulo2"/>
      </w:pPr>
      <w:r>
        <w:t>O Que Você Encontra Neste Projeto</w:t>
      </w:r>
    </w:p>
    <w:p w14:paraId="1D3AAEB4" w14:textId="77777777" w:rsidR="001F1417" w:rsidRDefault="00000000">
      <w:pPr>
        <w:spacing w:after="200" w:line="300" w:lineRule="auto"/>
        <w:jc w:val="both"/>
      </w:pPr>
      <w:r>
        <w:t>Este documento é a porta de entrada do case. Os demais entregáveis, reunidos no mesmo diretório, detalham cada etapa do trabalho:</w:t>
      </w:r>
    </w:p>
    <w:p w14:paraId="6F4CE629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Relatório Completo (Word/PDF) </w:t>
      </w:r>
      <w:r>
        <w:t>— o diagnóstico técnico integral: metodologia, fontes de dados, decomposição de causas raiz, impacto financeiro estimado, simulação de SLA e plano de ação priorizado.</w:t>
      </w:r>
    </w:p>
    <w:p w14:paraId="7426AAA1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Resumo Executivo (Word/PDF) </w:t>
      </w:r>
      <w:r>
        <w:t>— versão condensada de leitura objetiva, com os principais números e recomendações em duas páginas.</w:t>
      </w:r>
    </w:p>
    <w:p w14:paraId="0A6CC685" w14:textId="52790768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Vídeo de Apresentação do Dashboard </w:t>
      </w:r>
      <w:r>
        <w:t>— gravação em áudio e tela percorrendo o painel construído em Power BI, com a narrativa dos principais achados.</w:t>
      </w:r>
      <w:r w:rsidR="00D502FE">
        <w:t xml:space="preserve"> [Em produção]</w:t>
      </w:r>
    </w:p>
    <w:p w14:paraId="0A08A2AD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Base de Dados Bruta (CSV/XLSX) </w:t>
      </w:r>
      <w:r>
        <w:t>— a fonte original, pública, utilizada como ponto de partida do tratamento.</w:t>
      </w:r>
    </w:p>
    <w:p w14:paraId="08558FD5" w14:textId="77777777" w:rsidR="001F1417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Base Tratada para o Power BI (CSV) </w:t>
      </w:r>
      <w:r>
        <w:t>— o extrato final, já com as medidas de KPI, efetivamente consumido pelo modelo do dashboard.</w:t>
      </w:r>
    </w:p>
    <w:p w14:paraId="557B8EB5" w14:textId="77777777" w:rsidR="001F1417" w:rsidRDefault="00000000">
      <w:pPr>
        <w:spacing w:after="200" w:line="300" w:lineRule="auto"/>
        <w:jc w:val="both"/>
      </w:pPr>
      <w:r>
        <w:t>Cada peça deste conjunto foi construída para se sustentar sozinha, mas juntas elas contam uma única história: a de uma base de dados pública transformada, passo a passo, em um diagnóstico de negócio completo — do primeiro tratamento de coluna até a recomendação final de solução.</w:t>
      </w:r>
    </w:p>
    <w:p w14:paraId="001E95AB" w14:textId="77777777" w:rsidR="001F1417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Início do case —</w:t>
      </w:r>
    </w:p>
    <w:sectPr w:rsidR="001F1417">
      <w:headerReference w:type="default" r:id="rId8"/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F5D9" w14:textId="77777777" w:rsidR="00556366" w:rsidRDefault="00556366">
      <w:r>
        <w:separator/>
      </w:r>
    </w:p>
  </w:endnote>
  <w:endnote w:type="continuationSeparator" w:id="0">
    <w:p w14:paraId="71D2AB14" w14:textId="77777777" w:rsidR="00556366" w:rsidRDefault="0055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F534" w14:textId="77777777" w:rsidR="001F1417" w:rsidRDefault="00000000">
    <w:pPr>
      <w:jc w:val="center"/>
    </w:pPr>
    <w:r>
      <w:rPr>
        <w:color w:val="999999"/>
        <w:sz w:val="15"/>
        <w:szCs w:val="15"/>
      </w:rPr>
      <w:t xml:space="preserve">Página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646388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  <w:r>
      <w:rPr>
        <w:color w:val="999999"/>
        <w:sz w:val="15"/>
        <w:szCs w:val="15"/>
      </w:rPr>
      <w:t xml:space="preserve"> de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NUMPAGES</w:instrText>
    </w:r>
    <w:r>
      <w:rPr>
        <w:color w:val="999999"/>
        <w:sz w:val="15"/>
        <w:szCs w:val="15"/>
      </w:rPr>
      <w:fldChar w:fldCharType="separate"/>
    </w:r>
    <w:r w:rsidR="00646388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1B61D" w14:textId="77777777" w:rsidR="00556366" w:rsidRDefault="00556366">
      <w:r>
        <w:separator/>
      </w:r>
    </w:p>
  </w:footnote>
  <w:footnote w:type="continuationSeparator" w:id="0">
    <w:p w14:paraId="53CC50D9" w14:textId="77777777" w:rsidR="00556366" w:rsidRDefault="00556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3846" w14:textId="66A16FD3" w:rsidR="001F1417" w:rsidRDefault="00646388">
    <w:pPr>
      <w:jc w:val="right"/>
    </w:pPr>
    <w:r w:rsidRPr="00646388">
      <w:rPr>
        <w:b/>
        <w:bCs/>
        <w:color w:val="999999"/>
        <w:sz w:val="18"/>
        <w:szCs w:val="18"/>
      </w:rPr>
      <w:t xml:space="preserve"> AUTOR: Daniel Vasconcelos Martini           </w:t>
    </w:r>
    <w:r>
      <w:rPr>
        <w:color w:val="999999"/>
        <w:sz w:val="15"/>
        <w:szCs w:val="15"/>
      </w:rPr>
      <w:t xml:space="preserve">                                                                </w:t>
    </w:r>
    <w:r w:rsidRPr="00646388">
      <w:rPr>
        <w:color w:val="999999"/>
        <w:sz w:val="15"/>
        <w:szCs w:val="15"/>
      </w:rPr>
      <w:t xml:space="preserve">                                                                  </w:t>
    </w:r>
    <w:proofErr w:type="spellStart"/>
    <w:r>
      <w:rPr>
        <w:color w:val="999999"/>
        <w:sz w:val="15"/>
        <w:szCs w:val="15"/>
      </w:rPr>
      <w:t>Problem</w:t>
    </w:r>
    <w:proofErr w:type="spellEnd"/>
    <w:r>
      <w:rPr>
        <w:color w:val="999999"/>
        <w:sz w:val="15"/>
        <w:szCs w:val="15"/>
      </w:rPr>
      <w:t xml:space="preserve"> </w:t>
    </w:r>
    <w:proofErr w:type="spellStart"/>
    <w:r>
      <w:rPr>
        <w:color w:val="999999"/>
        <w:sz w:val="15"/>
        <w:szCs w:val="15"/>
      </w:rPr>
      <w:t>Statement</w:t>
    </w:r>
    <w:proofErr w:type="spellEnd"/>
    <w:r>
      <w:rPr>
        <w:color w:val="999999"/>
        <w:sz w:val="15"/>
        <w:szCs w:val="15"/>
      </w:rPr>
      <w:t xml:space="preserve"> — BD Logística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A415C"/>
    <w:multiLevelType w:val="hybridMultilevel"/>
    <w:tmpl w:val="D0060460"/>
    <w:lvl w:ilvl="0" w:tplc="28AA6B02">
      <w:start w:val="1"/>
      <w:numFmt w:val="bullet"/>
      <w:lvlText w:val="●"/>
      <w:lvlJc w:val="left"/>
      <w:pPr>
        <w:ind w:left="720" w:hanging="360"/>
      </w:pPr>
    </w:lvl>
    <w:lvl w:ilvl="1" w:tplc="BACCC288">
      <w:start w:val="1"/>
      <w:numFmt w:val="bullet"/>
      <w:lvlText w:val="○"/>
      <w:lvlJc w:val="left"/>
      <w:pPr>
        <w:ind w:left="1440" w:hanging="360"/>
      </w:pPr>
    </w:lvl>
    <w:lvl w:ilvl="2" w:tplc="8EA855BC">
      <w:start w:val="1"/>
      <w:numFmt w:val="bullet"/>
      <w:lvlText w:val="■"/>
      <w:lvlJc w:val="left"/>
      <w:pPr>
        <w:ind w:left="2160" w:hanging="360"/>
      </w:pPr>
    </w:lvl>
    <w:lvl w:ilvl="3" w:tplc="6E6A4BCE">
      <w:start w:val="1"/>
      <w:numFmt w:val="bullet"/>
      <w:lvlText w:val="●"/>
      <w:lvlJc w:val="left"/>
      <w:pPr>
        <w:ind w:left="2880" w:hanging="360"/>
      </w:pPr>
    </w:lvl>
    <w:lvl w:ilvl="4" w:tplc="73146152">
      <w:start w:val="1"/>
      <w:numFmt w:val="bullet"/>
      <w:lvlText w:val="○"/>
      <w:lvlJc w:val="left"/>
      <w:pPr>
        <w:ind w:left="3600" w:hanging="360"/>
      </w:pPr>
    </w:lvl>
    <w:lvl w:ilvl="5" w:tplc="F84C3EDC">
      <w:start w:val="1"/>
      <w:numFmt w:val="bullet"/>
      <w:lvlText w:val="■"/>
      <w:lvlJc w:val="left"/>
      <w:pPr>
        <w:ind w:left="4320" w:hanging="360"/>
      </w:pPr>
    </w:lvl>
    <w:lvl w:ilvl="6" w:tplc="FE602C56">
      <w:start w:val="1"/>
      <w:numFmt w:val="bullet"/>
      <w:lvlText w:val="●"/>
      <w:lvlJc w:val="left"/>
      <w:pPr>
        <w:ind w:left="5040" w:hanging="360"/>
      </w:pPr>
    </w:lvl>
    <w:lvl w:ilvl="7" w:tplc="67D26C0A">
      <w:start w:val="1"/>
      <w:numFmt w:val="bullet"/>
      <w:lvlText w:val="●"/>
      <w:lvlJc w:val="left"/>
      <w:pPr>
        <w:ind w:left="5760" w:hanging="360"/>
      </w:pPr>
    </w:lvl>
    <w:lvl w:ilvl="8" w:tplc="5EC046C0">
      <w:start w:val="1"/>
      <w:numFmt w:val="bullet"/>
      <w:lvlText w:val="●"/>
      <w:lvlJc w:val="left"/>
      <w:pPr>
        <w:ind w:left="6480" w:hanging="360"/>
      </w:pPr>
    </w:lvl>
  </w:abstractNum>
  <w:num w:numId="1" w16cid:durableId="914585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17"/>
    <w:rsid w:val="001F1417"/>
    <w:rsid w:val="002C7612"/>
    <w:rsid w:val="003F7FC7"/>
    <w:rsid w:val="00556366"/>
    <w:rsid w:val="00646388"/>
    <w:rsid w:val="00684022"/>
    <w:rsid w:val="006C0FB2"/>
    <w:rsid w:val="00D5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902CE"/>
  <w15:docId w15:val="{BDEE5375-A754-4852-9689-EDDE4DAB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pBdr>
        <w:bottom w:val="single" w:sz="6" w:space="3" w:color="6C3FA8"/>
      </w:pBdr>
      <w:spacing w:before="320" w:after="160"/>
      <w:outlineLvl w:val="1"/>
    </w:pPr>
    <w:rPr>
      <w:b/>
      <w:bCs/>
      <w:color w:val="6C3FA8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463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6388"/>
  </w:style>
  <w:style w:type="paragraph" w:styleId="Rodap">
    <w:name w:val="footer"/>
    <w:basedOn w:val="Normal"/>
    <w:link w:val="RodapChar"/>
    <w:uiPriority w:val="99"/>
    <w:unhideWhenUsed/>
    <w:rsid w:val="006463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6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1188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 — BD Logística</dc:title>
  <dc:creator>Análise de Dados, Performance e Processos</dc:creator>
  <cp:lastModifiedBy>Daniel Vasconcelos Martini</cp:lastModifiedBy>
  <cp:revision>4</cp:revision>
  <dcterms:created xsi:type="dcterms:W3CDTF">2026-09-19T02:38:00Z</dcterms:created>
  <dcterms:modified xsi:type="dcterms:W3CDTF">2026-09-21T01:02:00Z</dcterms:modified>
</cp:coreProperties>
</file>