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A469" w14:textId="77777777" w:rsidR="00D2420D" w:rsidRDefault="00000000">
      <w:pPr>
        <w:spacing w:after="140"/>
        <w:jc w:val="center"/>
      </w:pPr>
      <w:r>
        <w:rPr>
          <w:b/>
          <w:bCs/>
          <w:color w:val="4A2A75"/>
        </w:rPr>
        <w:t>RESUMO EXECUTIVO</w:t>
      </w:r>
    </w:p>
    <w:p w14:paraId="1FA53E11" w14:textId="77777777" w:rsidR="00D2420D" w:rsidRDefault="00000000">
      <w:pPr>
        <w:spacing w:after="100"/>
        <w:jc w:val="center"/>
      </w:pPr>
      <w:r>
        <w:rPr>
          <w:b/>
          <w:bCs/>
          <w:color w:val="3A3A3A"/>
          <w:sz w:val="38"/>
          <w:szCs w:val="38"/>
        </w:rPr>
        <w:t>Diagnóstico Operacional e Comercial da Área de Logística</w:t>
      </w:r>
    </w:p>
    <w:p w14:paraId="214AD790" w14:textId="77777777" w:rsidR="00D2420D" w:rsidRDefault="00000000">
      <w:pPr>
        <w:spacing w:after="60"/>
        <w:jc w:val="center"/>
      </w:pPr>
      <w:r>
        <w:rPr>
          <w:i/>
          <w:iCs/>
          <w:color w:val="666666"/>
        </w:rPr>
        <w:t>Calibração de SLA, Redução de Devoluções e Otimização de Frota</w:t>
      </w:r>
    </w:p>
    <w:p w14:paraId="4F3C6A6E" w14:textId="77777777" w:rsidR="00D2420D" w:rsidRDefault="00000000">
      <w:pPr>
        <w:spacing w:after="260"/>
        <w:jc w:val="center"/>
      </w:pPr>
      <w:r>
        <w:rPr>
          <w:color w:val="888888"/>
          <w:sz w:val="18"/>
          <w:szCs w:val="18"/>
        </w:rPr>
        <w:t xml:space="preserve">Leitura </w:t>
      </w:r>
      <w:proofErr w:type="gramStart"/>
      <w:r>
        <w:rPr>
          <w:color w:val="888888"/>
          <w:sz w:val="18"/>
          <w:szCs w:val="18"/>
        </w:rPr>
        <w:t>objetiva  ·</w:t>
      </w:r>
      <w:proofErr w:type="gramEnd"/>
      <w:r>
        <w:rPr>
          <w:color w:val="888888"/>
          <w:sz w:val="18"/>
          <w:szCs w:val="18"/>
        </w:rPr>
        <w:t xml:space="preserve">  Versão condensada do relatório completo</w:t>
      </w:r>
    </w:p>
    <w:p w14:paraId="5BCBE3DD" w14:textId="77777777" w:rsidR="00D2420D" w:rsidRDefault="00000000">
      <w:pPr>
        <w:pStyle w:val="Ttulo2"/>
        <w:spacing w:before="320" w:after="160"/>
      </w:pPr>
      <w:r>
        <w:t>Contexto e Objetivo</w:t>
      </w:r>
    </w:p>
    <w:p w14:paraId="37F17053" w14:textId="77777777" w:rsidR="00D2420D" w:rsidRDefault="00000000">
      <w:pPr>
        <w:spacing w:after="200" w:line="300" w:lineRule="auto"/>
        <w:jc w:val="both"/>
      </w:pPr>
      <w:r>
        <w:t>Análise técnica de 4.282 pedidos de uma operação de distribuição (2019-2021), a partir da base bruta, da base tratada com KPIs em DAX, do extrato consumido no Power BI e do estudo de caso original do projeto. Objetivo: diagnosticar os gargalos por trás da baixa performance de entrega e propor um plano de ação priorizado, com todos os números auditados e reconciliados de forma independente contra os dados brutos.</w:t>
      </w:r>
    </w:p>
    <w:p w14:paraId="446EEE3A" w14:textId="77777777" w:rsidR="00D2420D" w:rsidRDefault="00000000">
      <w:pPr>
        <w:pStyle w:val="Ttulo2"/>
        <w:spacing w:before="320" w:after="160"/>
      </w:pPr>
      <w:r>
        <w:t>Principais Números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1844"/>
        <w:gridCol w:w="3083"/>
        <w:gridCol w:w="1799"/>
      </w:tblGrid>
      <w:tr w:rsidR="00D2420D" w14:paraId="495AC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EB60B3F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FATURAMENTO TOTAL</w:t>
            </w:r>
          </w:p>
          <w:p w14:paraId="58DA6A78" w14:textId="77777777" w:rsidR="00D2420D" w:rsidRDefault="00000000">
            <w:pPr>
              <w:jc w:val="center"/>
            </w:pPr>
            <w:r>
              <w:rPr>
                <w:b/>
                <w:bCs/>
                <w:color w:val="4A2A75"/>
                <w:sz w:val="26"/>
                <w:szCs w:val="26"/>
              </w:rPr>
              <w:t>R$ 1,45 M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E335DBA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TICKET MÉDIO</w:t>
            </w:r>
          </w:p>
          <w:p w14:paraId="239F8422" w14:textId="77777777" w:rsidR="00D2420D" w:rsidRDefault="00000000">
            <w:pPr>
              <w:jc w:val="center"/>
            </w:pPr>
            <w:r>
              <w:rPr>
                <w:b/>
                <w:bCs/>
                <w:color w:val="4A2A75"/>
                <w:sz w:val="26"/>
                <w:szCs w:val="26"/>
              </w:rPr>
              <w:t>R$ 339,04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99CE4D8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TAXA DE ATRASO (SLA 10d)</w:t>
            </w:r>
          </w:p>
          <w:p w14:paraId="5303F9CD" w14:textId="77777777" w:rsidR="00D2420D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73,21%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A930450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OTIF ORIGINAL</w:t>
            </w:r>
          </w:p>
          <w:p w14:paraId="55195EE8" w14:textId="77777777" w:rsidR="00D2420D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6,89%</w:t>
            </w:r>
          </w:p>
        </w:tc>
      </w:tr>
    </w:tbl>
    <w:p w14:paraId="3BC6580D" w14:textId="77777777" w:rsidR="00D2420D" w:rsidRDefault="00D2420D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1969"/>
        <w:gridCol w:w="2293"/>
        <w:gridCol w:w="2602"/>
      </w:tblGrid>
      <w:tr w:rsidR="00D2420D" w14:paraId="11B7E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32CD040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TAXA DE ATRASO (SLA 15d)</w:t>
            </w:r>
          </w:p>
          <w:p w14:paraId="293E05D0" w14:textId="77777777" w:rsidR="00D2420D" w:rsidRDefault="00000000">
            <w:pPr>
              <w:jc w:val="center"/>
            </w:pPr>
            <w:r>
              <w:rPr>
                <w:b/>
                <w:bCs/>
                <w:color w:val="6C3FA8"/>
                <w:sz w:val="26"/>
                <w:szCs w:val="26"/>
              </w:rPr>
              <w:t>29,12%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B71B8E1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OTIF COM NOVO SLA</w:t>
            </w:r>
          </w:p>
          <w:p w14:paraId="64CE720B" w14:textId="77777777" w:rsidR="00D2420D" w:rsidRDefault="00000000">
            <w:pPr>
              <w:jc w:val="center"/>
            </w:pPr>
            <w:r>
              <w:rPr>
                <w:b/>
                <w:bCs/>
                <w:color w:val="6C3FA8"/>
                <w:sz w:val="26"/>
                <w:szCs w:val="26"/>
              </w:rPr>
              <w:t>17,89%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EF9F5D2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PEDIDOS C/ DEVOLUÇÃO</w:t>
            </w:r>
          </w:p>
          <w:p w14:paraId="365873B9" w14:textId="77777777" w:rsidR="00D2420D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75,25%</w:t>
            </w:r>
          </w:p>
        </w:tc>
        <w:tc>
          <w:tcPr>
            <w:tcW w:w="0" w:type="auto"/>
            <w:shd w:val="clear" w:color="auto" w:fill="F2F0F7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A5C5266" w14:textId="77777777" w:rsidR="00D2420D" w:rsidRDefault="00000000">
            <w:pPr>
              <w:spacing w:after="40"/>
              <w:jc w:val="center"/>
            </w:pPr>
            <w:r>
              <w:rPr>
                <w:color w:val="666666"/>
                <w:sz w:val="17"/>
                <w:szCs w:val="17"/>
              </w:rPr>
              <w:t>VALOR EST. EM DEVOLUÇÃO</w:t>
            </w:r>
          </w:p>
          <w:p w14:paraId="42D21D39" w14:textId="77777777" w:rsidR="00D2420D" w:rsidRDefault="00000000">
            <w:pPr>
              <w:jc w:val="center"/>
            </w:pPr>
            <w:r>
              <w:rPr>
                <w:b/>
                <w:bCs/>
                <w:color w:val="FF6B5B"/>
                <w:sz w:val="26"/>
                <w:szCs w:val="26"/>
              </w:rPr>
              <w:t>R$ 259,5 mil</w:t>
            </w:r>
          </w:p>
        </w:tc>
      </w:tr>
    </w:tbl>
    <w:p w14:paraId="57D06927" w14:textId="77777777" w:rsidR="00D2420D" w:rsidRDefault="00D2420D">
      <w:pPr>
        <w:spacing w:after="220"/>
      </w:pPr>
    </w:p>
    <w:p w14:paraId="715ED6DB" w14:textId="77777777" w:rsidR="00D2420D" w:rsidRDefault="00000000">
      <w:pPr>
        <w:pStyle w:val="Ttulo2"/>
        <w:spacing w:before="320" w:after="160"/>
      </w:pPr>
      <w:r>
        <w:t>Diagnóstico: Três Gargalos Concorrentes</w:t>
      </w:r>
    </w:p>
    <w:p w14:paraId="5E6579A8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1. SLA comercial irreal — </w:t>
      </w:r>
      <w:r>
        <w:t>prazo fixo de 10 dias, sem base estatística. O ciclo real mediano do pedido (OCT) já é de 13 dias, tornando o atraso praticamente inevitável em qualquer cenário.</w:t>
      </w:r>
    </w:p>
    <w:p w14:paraId="75F903A9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2. Falha de conferência no armazém — </w:t>
      </w:r>
      <w:r>
        <w:t>"Produto Errado" (48,65%) e "Danificado" (43,93%) somam 92,58% das devoluções. O problema é disseminado: 75,25% dos pedidos têm algum item devolvido, contra apenas 17,74% do volume total de itens — sinal de falta de conferência sistemática (bipagem), não de lote defeituoso.</w:t>
      </w:r>
    </w:p>
    <w:p w14:paraId="6D0E5E3B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  <w:color w:val="FF6B5B"/>
        </w:rPr>
        <w:t xml:space="preserve">3. Desequilíbrio de alocação de frota — </w:t>
      </w:r>
      <w:r>
        <w:t>gap de até 13,3 pontos percentuais de atraso entre o melhor e o pior motorista na mesma rota (Rio de Janeiro), com volume de pedidos equivalente entre eles — evidência de má alocação, não de sobrecarga.</w:t>
      </w:r>
    </w:p>
    <w:p w14:paraId="5B41F6BE" w14:textId="77777777" w:rsidR="00D2420D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0DB94C7" wp14:editId="62E79093">
            <wp:extent cx="4572000" cy="2505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3DD" w14:textId="77777777" w:rsidR="00D2420D" w:rsidRDefault="00000000"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>Impacto da calibração do SLA na taxa de atraso.</w:t>
      </w:r>
    </w:p>
    <w:p w14:paraId="7F37DAC8" w14:textId="77777777" w:rsidR="00D2420D" w:rsidRDefault="00000000">
      <w:pPr>
        <w:pStyle w:val="Ttulo2"/>
        <w:spacing w:before="320" w:after="160"/>
      </w:pPr>
      <w:r>
        <w:t>Solução Proposta e Resultado</w:t>
      </w:r>
    </w:p>
    <w:p w14:paraId="1CD11F06" w14:textId="77777777" w:rsidR="00D2420D" w:rsidRDefault="00000000">
      <w:pPr>
        <w:spacing w:after="200" w:line="300" w:lineRule="auto"/>
        <w:jc w:val="both"/>
      </w:pPr>
      <w:r>
        <w:t xml:space="preserve">A recalibração do SLA de 10 para 15 dias — sem nenhum investimento — reduz a taxa de atraso de </w:t>
      </w:r>
      <w:r>
        <w:rPr>
          <w:b/>
          <w:bCs/>
          <w:color w:val="FF6B5B"/>
        </w:rPr>
        <w:t>73,21%</w:t>
      </w:r>
      <w:r>
        <w:t xml:space="preserve"> para </w:t>
      </w:r>
      <w:r>
        <w:rPr>
          <w:b/>
          <w:bCs/>
          <w:color w:val="4A2A75"/>
        </w:rPr>
        <w:t>29,12%</w:t>
      </w:r>
      <w:r>
        <w:t xml:space="preserve"> e eleva o OTIF de 6,89% para 17,89%. É um ajuste de expectativa que revela — e não resolve — os problemas estruturais de armazém e frota, que respondem por praticamente todo o valor financeiro em risco. Para essa causa raiz, propõe-se um programa DMAIC de reestruturação do </w:t>
      </w:r>
      <w:proofErr w:type="spellStart"/>
      <w:r>
        <w:t>picking</w:t>
      </w:r>
      <w:proofErr w:type="spellEnd"/>
      <w:r>
        <w:t xml:space="preserve"> e </w:t>
      </w:r>
      <w:proofErr w:type="spellStart"/>
      <w:r>
        <w:t>packing</w:t>
      </w:r>
      <w:proofErr w:type="spellEnd"/>
      <w:r>
        <w:t xml:space="preserve"> (bipagem obrigatória, padronização de embalagem, </w:t>
      </w:r>
      <w:proofErr w:type="spellStart"/>
      <w:proofErr w:type="gramStart"/>
      <w:r>
        <w:t>POPs</w:t>
      </w:r>
      <w:proofErr w:type="spellEnd"/>
      <w:proofErr w:type="gramEnd"/>
      <w:r>
        <w:t xml:space="preserve"> e gestão à vista), complementado por remanejamento de rotas por performance individual dos motoristas.</w:t>
      </w:r>
    </w:p>
    <w:p w14:paraId="1D9FE01B" w14:textId="77777777" w:rsidR="00D2420D" w:rsidRDefault="00000000">
      <w:pPr>
        <w:pStyle w:val="Ttulo2"/>
        <w:spacing w:before="320" w:after="160"/>
      </w:pPr>
      <w:r>
        <w:t>Recomendações Prioritárias</w:t>
      </w:r>
    </w:p>
    <w:p w14:paraId="196524C2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Imediato (0-30 dias): </w:t>
      </w:r>
      <w:r>
        <w:t>calibrar o SLA comercial para 15 dias e pilotar a troca de rota Rio de Janeiro/São Paulo entre os dois motoristas de performance mais divergente.</w:t>
      </w:r>
    </w:p>
    <w:p w14:paraId="583FDBC0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Curto prazo (30-60 dias): </w:t>
      </w:r>
      <w:r>
        <w:t xml:space="preserve">abrir o programa DMAIC de </w:t>
      </w:r>
      <w:proofErr w:type="spellStart"/>
      <w:r>
        <w:t>picking</w:t>
      </w:r>
      <w:proofErr w:type="spellEnd"/>
      <w:r>
        <w:t>/</w:t>
      </w:r>
      <w:proofErr w:type="spellStart"/>
      <w:r>
        <w:t>packing</w:t>
      </w:r>
      <w:proofErr w:type="spellEnd"/>
      <w:r>
        <w:t xml:space="preserve"> e passar a capturar o custo real de cada devolução na base de dados.</w:t>
      </w:r>
    </w:p>
    <w:p w14:paraId="24DE3436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Médio prazo (60-120 dias): </w:t>
      </w:r>
      <w:r>
        <w:t xml:space="preserve">implementar bipagem obrigatória no </w:t>
      </w:r>
      <w:proofErr w:type="spellStart"/>
      <w:r>
        <w:t>picking</w:t>
      </w:r>
      <w:proofErr w:type="spellEnd"/>
      <w:r>
        <w:t xml:space="preserve">, padronizar embalagens no </w:t>
      </w:r>
      <w:proofErr w:type="spellStart"/>
      <w:r>
        <w:t>packing</w:t>
      </w:r>
      <w:proofErr w:type="spellEnd"/>
      <w:r>
        <w:t xml:space="preserve"> e investigar a causa raiz da rota do Rio de Janeiro.</w:t>
      </w:r>
    </w:p>
    <w:p w14:paraId="7B85BED3" w14:textId="77777777" w:rsidR="00D2420D" w:rsidRDefault="00000000">
      <w:pPr>
        <w:pStyle w:val="PargrafodaLista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Contínuo: </w:t>
      </w:r>
      <w:r>
        <w:t>revisar o SLA trimestralmente à medida que o programa DMAIC reduzir a variabilidade do ciclo, recuperando competitividade comercial sem reabrir o atraso sistêmico.</w:t>
      </w:r>
    </w:p>
    <w:p w14:paraId="54F6A23B" w14:textId="77777777" w:rsidR="00D2420D" w:rsidRDefault="00000000">
      <w:pPr>
        <w:pStyle w:val="Ttulo2"/>
        <w:spacing w:before="320" w:after="160"/>
      </w:pPr>
      <w:r>
        <w:t>Conclusão</w:t>
      </w:r>
    </w:p>
    <w:p w14:paraId="14BA9BC3" w14:textId="77777777" w:rsidR="00D2420D" w:rsidRDefault="00000000">
      <w:pPr>
        <w:spacing w:after="200" w:line="300" w:lineRule="auto"/>
        <w:jc w:val="both"/>
      </w:pPr>
      <w:r>
        <w:t>A operação combina uma carteira de clientes de alto valor e uma frota bem dimensionada com indicadores de serviço criticamente baixos — um padrão explicado por três causas concorrentes, e não por uma falha isolada. A calibração de SLA entrega o ganho mais rápido; o programa DMAIC endereça a causa raiz financeira. Juntas, as duas frentes conduzem a operação de um patamar de sobrevivência para um patamar de excelência em nível de serviço.</w:t>
      </w:r>
    </w:p>
    <w:p w14:paraId="55F631A6" w14:textId="77777777" w:rsidR="00D2420D" w:rsidRDefault="00000000">
      <w:pPr>
        <w:spacing w:before="260"/>
        <w:jc w:val="center"/>
      </w:pPr>
      <w:r>
        <w:rPr>
          <w:i/>
          <w:iCs/>
          <w:color w:val="888888"/>
          <w:sz w:val="18"/>
          <w:szCs w:val="18"/>
        </w:rPr>
        <w:t>Este é um resumo objetivo. O relatório completo detalha metodologia, fontes de dados, tabelas de apoio, matrizes de atraso por motorista/destino e o plano de ação com prazos e responsáveis.</w:t>
      </w:r>
    </w:p>
    <w:sectPr w:rsidR="00D2420D">
      <w:headerReference w:type="default" r:id="rId8"/>
      <w:footerReference w:type="default" r:id="rId9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9E5E" w14:textId="77777777" w:rsidR="005C1EFE" w:rsidRDefault="005C1EFE">
      <w:r>
        <w:separator/>
      </w:r>
    </w:p>
  </w:endnote>
  <w:endnote w:type="continuationSeparator" w:id="0">
    <w:p w14:paraId="5AA11E13" w14:textId="77777777" w:rsidR="005C1EFE" w:rsidRDefault="005C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9289" w14:textId="77777777" w:rsidR="00D2420D" w:rsidRDefault="00000000">
    <w:pPr>
      <w:jc w:val="center"/>
    </w:pPr>
    <w:r>
      <w:rPr>
        <w:color w:val="999999"/>
        <w:sz w:val="15"/>
        <w:szCs w:val="15"/>
      </w:rPr>
      <w:t xml:space="preserve">Página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F372B2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  <w:r>
      <w:rPr>
        <w:color w:val="999999"/>
        <w:sz w:val="15"/>
        <w:szCs w:val="15"/>
      </w:rPr>
      <w:t xml:space="preserve"> de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NUMPAGES</w:instrText>
    </w:r>
    <w:r>
      <w:rPr>
        <w:color w:val="999999"/>
        <w:sz w:val="15"/>
        <w:szCs w:val="15"/>
      </w:rPr>
      <w:fldChar w:fldCharType="separate"/>
    </w:r>
    <w:r w:rsidR="00F372B2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E76A" w14:textId="77777777" w:rsidR="005C1EFE" w:rsidRDefault="005C1EFE">
      <w:r>
        <w:separator/>
      </w:r>
    </w:p>
  </w:footnote>
  <w:footnote w:type="continuationSeparator" w:id="0">
    <w:p w14:paraId="2FC9367F" w14:textId="77777777" w:rsidR="005C1EFE" w:rsidRDefault="005C1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1CF" w14:textId="5BD39823" w:rsidR="00D2420D" w:rsidRDefault="00F372B2">
    <w:pPr>
      <w:jc w:val="right"/>
    </w:pPr>
    <w:proofErr w:type="gramStart"/>
    <w:r w:rsidRPr="00F372B2">
      <w:rPr>
        <w:b/>
        <w:bCs/>
        <w:color w:val="999999"/>
        <w:sz w:val="16"/>
        <w:szCs w:val="16"/>
      </w:rPr>
      <w:t>Autor :</w:t>
    </w:r>
    <w:proofErr w:type="gramEnd"/>
    <w:r w:rsidRPr="00F372B2">
      <w:rPr>
        <w:b/>
        <w:bCs/>
        <w:color w:val="999999"/>
        <w:sz w:val="16"/>
        <w:szCs w:val="16"/>
      </w:rPr>
      <w:t xml:space="preserve"> Daniel Vasconcelos Martini  </w:t>
    </w:r>
    <w:r>
      <w:rPr>
        <w:color w:val="999999"/>
        <w:sz w:val="15"/>
        <w:szCs w:val="15"/>
      </w:rPr>
      <w:t xml:space="preserve">                                                                                                                                      </w:t>
    </w:r>
    <w:r w:rsidR="00000000">
      <w:rPr>
        <w:color w:val="999999"/>
        <w:sz w:val="15"/>
        <w:szCs w:val="15"/>
      </w:rPr>
      <w:t>Resumo Executivo — Diagnóstico de Logística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3CB4"/>
    <w:multiLevelType w:val="hybridMultilevel"/>
    <w:tmpl w:val="43D6F78A"/>
    <w:lvl w:ilvl="0" w:tplc="2B68867A">
      <w:start w:val="1"/>
      <w:numFmt w:val="bullet"/>
      <w:lvlText w:val="●"/>
      <w:lvlJc w:val="left"/>
      <w:pPr>
        <w:ind w:left="720" w:hanging="360"/>
      </w:pPr>
    </w:lvl>
    <w:lvl w:ilvl="1" w:tplc="9A760A86">
      <w:start w:val="1"/>
      <w:numFmt w:val="bullet"/>
      <w:lvlText w:val="○"/>
      <w:lvlJc w:val="left"/>
      <w:pPr>
        <w:ind w:left="1440" w:hanging="360"/>
      </w:pPr>
    </w:lvl>
    <w:lvl w:ilvl="2" w:tplc="FAE4C8B2">
      <w:start w:val="1"/>
      <w:numFmt w:val="bullet"/>
      <w:lvlText w:val="■"/>
      <w:lvlJc w:val="left"/>
      <w:pPr>
        <w:ind w:left="2160" w:hanging="360"/>
      </w:pPr>
    </w:lvl>
    <w:lvl w:ilvl="3" w:tplc="E87200E0">
      <w:start w:val="1"/>
      <w:numFmt w:val="bullet"/>
      <w:lvlText w:val="●"/>
      <w:lvlJc w:val="left"/>
      <w:pPr>
        <w:ind w:left="2880" w:hanging="360"/>
      </w:pPr>
    </w:lvl>
    <w:lvl w:ilvl="4" w:tplc="ED489836">
      <w:start w:val="1"/>
      <w:numFmt w:val="bullet"/>
      <w:lvlText w:val="○"/>
      <w:lvlJc w:val="left"/>
      <w:pPr>
        <w:ind w:left="3600" w:hanging="360"/>
      </w:pPr>
    </w:lvl>
    <w:lvl w:ilvl="5" w:tplc="DF22B8D4">
      <w:start w:val="1"/>
      <w:numFmt w:val="bullet"/>
      <w:lvlText w:val="■"/>
      <w:lvlJc w:val="left"/>
      <w:pPr>
        <w:ind w:left="4320" w:hanging="360"/>
      </w:pPr>
    </w:lvl>
    <w:lvl w:ilvl="6" w:tplc="349EFB48">
      <w:start w:val="1"/>
      <w:numFmt w:val="bullet"/>
      <w:lvlText w:val="●"/>
      <w:lvlJc w:val="left"/>
      <w:pPr>
        <w:ind w:left="5040" w:hanging="360"/>
      </w:pPr>
    </w:lvl>
    <w:lvl w:ilvl="7" w:tplc="A45AA35E">
      <w:start w:val="1"/>
      <w:numFmt w:val="bullet"/>
      <w:lvlText w:val="●"/>
      <w:lvlJc w:val="left"/>
      <w:pPr>
        <w:ind w:left="5760" w:hanging="360"/>
      </w:pPr>
    </w:lvl>
    <w:lvl w:ilvl="8" w:tplc="FB24318A">
      <w:start w:val="1"/>
      <w:numFmt w:val="bullet"/>
      <w:lvlText w:val="●"/>
      <w:lvlJc w:val="left"/>
      <w:pPr>
        <w:ind w:left="6480" w:hanging="360"/>
      </w:pPr>
    </w:lvl>
  </w:abstractNum>
  <w:num w:numId="1" w16cid:durableId="1979141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20D"/>
    <w:rsid w:val="001F485C"/>
    <w:rsid w:val="005C1EFE"/>
    <w:rsid w:val="00D2420D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D32F"/>
  <w15:docId w15:val="{CDA23BAE-30E4-4D5C-A57E-B483A0C2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pBdr>
        <w:bottom w:val="single" w:sz="6" w:space="3" w:color="6C3FA8"/>
      </w:pBdr>
      <w:spacing w:before="260" w:after="140"/>
      <w:outlineLvl w:val="1"/>
    </w:pPr>
    <w:rPr>
      <w:b/>
      <w:bCs/>
      <w:color w:val="6C3F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372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72B2"/>
  </w:style>
  <w:style w:type="paragraph" w:styleId="Rodap">
    <w:name w:val="footer"/>
    <w:basedOn w:val="Normal"/>
    <w:link w:val="RodapChar"/>
    <w:uiPriority w:val="99"/>
    <w:unhideWhenUsed/>
    <w:rsid w:val="00F372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— Diagnóstico Operacional e Comercial da Área de Logística</dc:title>
  <dc:creator>Análise de Dados, Performance e Processos</dc:creator>
  <cp:lastModifiedBy>Daniel Vasconcelos Martini</cp:lastModifiedBy>
  <cp:revision>2</cp:revision>
  <dcterms:created xsi:type="dcterms:W3CDTF">2026-09-19T01:57:00Z</dcterms:created>
  <dcterms:modified xsi:type="dcterms:W3CDTF">2026-09-19T02:07:00Z</dcterms:modified>
</cp:coreProperties>
</file>