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895C" w14:textId="77777777" w:rsidR="006C7E23" w:rsidRDefault="006C7E23">
      <w:pPr>
        <w:spacing w:after="1200"/>
      </w:pPr>
    </w:p>
    <w:p w14:paraId="25555C0D" w14:textId="77777777" w:rsidR="006C7E23" w:rsidRDefault="00000000">
      <w:pPr>
        <w:spacing w:after="220"/>
        <w:jc w:val="center"/>
      </w:pPr>
      <w:r>
        <w:rPr>
          <w:b/>
          <w:bCs/>
          <w:color w:val="4A2A75"/>
          <w:sz w:val="24"/>
          <w:szCs w:val="24"/>
        </w:rPr>
        <w:t>RELATÓRIO DE ANÁLISE DE DADOS, PERFORMANCE E PROCESSOS</w:t>
      </w:r>
    </w:p>
    <w:p w14:paraId="56B91917" w14:textId="77777777" w:rsidR="006C7E23" w:rsidRDefault="00000000">
      <w:pPr>
        <w:spacing w:after="120"/>
        <w:jc w:val="center"/>
      </w:pPr>
      <w:r>
        <w:rPr>
          <w:b/>
          <w:bCs/>
          <w:color w:val="3A3A3A"/>
          <w:sz w:val="42"/>
          <w:szCs w:val="42"/>
        </w:rPr>
        <w:t>Diagnóstico Operacional e Comercial da Área de Logística</w:t>
      </w:r>
    </w:p>
    <w:p w14:paraId="1604744E" w14:textId="77777777" w:rsidR="006C7E23" w:rsidRDefault="00000000">
      <w:pPr>
        <w:spacing w:after="700"/>
        <w:jc w:val="center"/>
      </w:pPr>
      <w:r>
        <w:rPr>
          <w:i/>
          <w:iCs/>
          <w:color w:val="666666"/>
          <w:sz w:val="24"/>
          <w:szCs w:val="24"/>
        </w:rPr>
        <w:t>Calibração de SLA, Redução de Devoluções e Otimização de Frota</w:t>
      </w:r>
    </w:p>
    <w:p w14:paraId="43EE8BDC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8A45F81" wp14:editId="54F0D42B">
            <wp:extent cx="4019550" cy="22574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141" w14:textId="77777777" w:rsidR="006C7E23" w:rsidRDefault="006C7E23">
      <w:pPr>
        <w:spacing w:after="700"/>
      </w:pPr>
    </w:p>
    <w:p w14:paraId="6D6C1548" w14:textId="77777777" w:rsidR="006C7E23" w:rsidRDefault="00000000">
      <w:pPr>
        <w:spacing w:after="80"/>
        <w:jc w:val="center"/>
      </w:pPr>
      <w:r>
        <w:rPr>
          <w:color w:val="666666"/>
          <w:sz w:val="19"/>
          <w:szCs w:val="19"/>
        </w:rPr>
        <w:t xml:space="preserve">Base analisada: 4.282 </w:t>
      </w:r>
      <w:proofErr w:type="gramStart"/>
      <w:r>
        <w:rPr>
          <w:color w:val="666666"/>
          <w:sz w:val="19"/>
          <w:szCs w:val="19"/>
        </w:rPr>
        <w:t>pedidos  ·</w:t>
      </w:r>
      <w:proofErr w:type="gramEnd"/>
      <w:r>
        <w:rPr>
          <w:color w:val="666666"/>
          <w:sz w:val="19"/>
          <w:szCs w:val="19"/>
        </w:rPr>
        <w:t xml:space="preserve">  </w:t>
      </w:r>
      <w:proofErr w:type="gramStart"/>
      <w:r>
        <w:rPr>
          <w:color w:val="666666"/>
          <w:sz w:val="19"/>
          <w:szCs w:val="19"/>
        </w:rPr>
        <w:t>Janeiro</w:t>
      </w:r>
      <w:proofErr w:type="gramEnd"/>
      <w:r>
        <w:rPr>
          <w:color w:val="666666"/>
          <w:sz w:val="19"/>
          <w:szCs w:val="19"/>
        </w:rPr>
        <w:t xml:space="preserve">/2019 a </w:t>
      </w:r>
      <w:proofErr w:type="gramStart"/>
      <w:r>
        <w:rPr>
          <w:color w:val="666666"/>
          <w:sz w:val="19"/>
          <w:szCs w:val="19"/>
        </w:rPr>
        <w:t>Dezembro</w:t>
      </w:r>
      <w:proofErr w:type="gramEnd"/>
      <w:r>
        <w:rPr>
          <w:color w:val="666666"/>
          <w:sz w:val="19"/>
          <w:szCs w:val="19"/>
        </w:rPr>
        <w:t>/</w:t>
      </w:r>
      <w:proofErr w:type="gramStart"/>
      <w:r>
        <w:rPr>
          <w:color w:val="666666"/>
          <w:sz w:val="19"/>
          <w:szCs w:val="19"/>
        </w:rPr>
        <w:t>2021  ·</w:t>
      </w:r>
      <w:proofErr w:type="gramEnd"/>
      <w:r>
        <w:rPr>
          <w:color w:val="666666"/>
          <w:sz w:val="19"/>
          <w:szCs w:val="19"/>
        </w:rPr>
        <w:t xml:space="preserve">  Destinos: Belo Horizonte, Rio de Janeiro e São Paulo</w:t>
      </w:r>
    </w:p>
    <w:p w14:paraId="66794D9C" w14:textId="77777777" w:rsidR="006C7E23" w:rsidRDefault="00000000">
      <w:pPr>
        <w:spacing w:after="80"/>
        <w:jc w:val="center"/>
      </w:pPr>
      <w:r>
        <w:rPr>
          <w:color w:val="888888"/>
          <w:sz w:val="17"/>
          <w:szCs w:val="17"/>
        </w:rPr>
        <w:t>Fontes de dados: base bruta (</w:t>
      </w:r>
      <w:proofErr w:type="spellStart"/>
      <w:r>
        <w:rPr>
          <w:color w:val="888888"/>
          <w:sz w:val="17"/>
          <w:szCs w:val="17"/>
        </w:rPr>
        <w:t>BD_Logistica</w:t>
      </w:r>
      <w:proofErr w:type="spellEnd"/>
      <w:r>
        <w:rPr>
          <w:color w:val="888888"/>
          <w:sz w:val="17"/>
          <w:szCs w:val="17"/>
        </w:rPr>
        <w:t>), base tratada com KPIs em DAX/Power BI, extrato utilizado no Power BI e estudo de caso original do autor</w:t>
      </w:r>
    </w:p>
    <w:p w14:paraId="56A34D96" w14:textId="77777777" w:rsidR="006C7E23" w:rsidRDefault="00000000">
      <w:pPr>
        <w:jc w:val="center"/>
      </w:pPr>
      <w:r>
        <w:rPr>
          <w:color w:val="888888"/>
          <w:sz w:val="17"/>
          <w:szCs w:val="17"/>
        </w:rPr>
        <w:t>Elaborado por: Análise de Dados, Performance e Processos</w:t>
      </w:r>
    </w:p>
    <w:p w14:paraId="51E44D41" w14:textId="77777777" w:rsidR="006C7E23" w:rsidRDefault="00000000">
      <w:r>
        <w:br w:type="page"/>
      </w:r>
    </w:p>
    <w:p w14:paraId="3E74A7AE" w14:textId="77777777" w:rsidR="006C7E23" w:rsidRDefault="00000000">
      <w:pPr>
        <w:pStyle w:val="Ttulo1"/>
        <w:spacing w:after="260"/>
      </w:pPr>
      <w:r>
        <w:lastRenderedPageBreak/>
        <w:t>Sumário</w:t>
      </w:r>
    </w:p>
    <w:p w14:paraId="1C519BB9" w14:textId="77777777" w:rsidR="006C7E23" w:rsidRDefault="00000000">
      <w:pPr>
        <w:spacing w:after="140"/>
      </w:pPr>
      <w:r>
        <w:rPr>
          <w:b/>
          <w:bCs/>
          <w:color w:val="4A2A75"/>
        </w:rPr>
        <w:t>1. Sumário Executivo</w:t>
      </w:r>
    </w:p>
    <w:p w14:paraId="01CFD610" w14:textId="77777777" w:rsidR="006C7E23" w:rsidRDefault="00000000">
      <w:pPr>
        <w:spacing w:after="140"/>
      </w:pPr>
      <w:r>
        <w:rPr>
          <w:b/>
          <w:bCs/>
          <w:color w:val="4A2A75"/>
        </w:rPr>
        <w:t>2. Sobre Esta Análise: Fontes e Metodologia</w:t>
      </w:r>
    </w:p>
    <w:p w14:paraId="1D53CCBA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2.1. Glossário rápido de indicadores</w:t>
      </w:r>
    </w:p>
    <w:p w14:paraId="32E1B5CB" w14:textId="77777777" w:rsidR="006C7E23" w:rsidRDefault="00000000">
      <w:pPr>
        <w:spacing w:after="140"/>
      </w:pPr>
      <w:r>
        <w:rPr>
          <w:b/>
          <w:bCs/>
          <w:color w:val="4A2A75"/>
        </w:rPr>
        <w:t>3. Panorama Financeiro e Comercial</w:t>
      </w:r>
    </w:p>
    <w:p w14:paraId="1807FC66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3.1. Faturamento e Ticket Médio</w:t>
      </w:r>
    </w:p>
    <w:p w14:paraId="056A8BC2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3.2. Sazonalidade do Faturamento</w:t>
      </w:r>
    </w:p>
    <w:p w14:paraId="63803584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3.3. Concentração de Clientes — Curva de Pareto</w:t>
      </w:r>
    </w:p>
    <w:p w14:paraId="4891F0F4" w14:textId="77777777" w:rsidR="006C7E23" w:rsidRDefault="00000000">
      <w:pPr>
        <w:spacing w:after="140"/>
      </w:pPr>
      <w:r>
        <w:rPr>
          <w:b/>
          <w:bCs/>
          <w:color w:val="4A2A75"/>
        </w:rPr>
        <w:t>4. Diagnóstico de Nível de Serviço — Cenário Original</w:t>
      </w:r>
    </w:p>
    <w:p w14:paraId="21D59EFA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4.1. OTIF e Taxa de Atraso</w:t>
      </w:r>
    </w:p>
    <w:p w14:paraId="1B40AA99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4.2. Tempos de Ciclo: LTI, TT e OCT</w:t>
      </w:r>
    </w:p>
    <w:p w14:paraId="1ADD77E4" w14:textId="77777777" w:rsidR="006C7E23" w:rsidRDefault="00000000">
      <w:pPr>
        <w:spacing w:after="140"/>
      </w:pPr>
      <w:r>
        <w:rPr>
          <w:b/>
          <w:bCs/>
          <w:color w:val="4A2A75"/>
        </w:rPr>
        <w:t>5. Diagnóstico de Causas-Raiz (Gargalos)</w:t>
      </w:r>
    </w:p>
    <w:p w14:paraId="3D4D242B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 xml:space="preserve">5.A. Falha Crítica no Armazém — </w:t>
      </w:r>
      <w:proofErr w:type="spellStart"/>
      <w:r>
        <w:rPr>
          <w:color w:val="4A4A4A"/>
          <w:sz w:val="20"/>
          <w:szCs w:val="20"/>
        </w:rPr>
        <w:t>Picking</w:t>
      </w:r>
      <w:proofErr w:type="spellEnd"/>
      <w:r>
        <w:rPr>
          <w:color w:val="4A4A4A"/>
          <w:sz w:val="20"/>
          <w:szCs w:val="20"/>
        </w:rPr>
        <w:t xml:space="preserve"> e </w:t>
      </w:r>
      <w:proofErr w:type="spellStart"/>
      <w:r>
        <w:rPr>
          <w:color w:val="4A4A4A"/>
          <w:sz w:val="20"/>
          <w:szCs w:val="20"/>
        </w:rPr>
        <w:t>Packing</w:t>
      </w:r>
      <w:proofErr w:type="spellEnd"/>
    </w:p>
    <w:p w14:paraId="53716441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5.B. Ineficiência de Alocação de Frota</w:t>
      </w:r>
    </w:p>
    <w:p w14:paraId="401FFB43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5.C. SLA Comercial Irreal e Sufocante</w:t>
      </w:r>
    </w:p>
    <w:p w14:paraId="25F71787" w14:textId="77777777" w:rsidR="006C7E23" w:rsidRDefault="00000000">
      <w:pPr>
        <w:spacing w:after="140"/>
      </w:pPr>
      <w:r>
        <w:rPr>
          <w:b/>
          <w:bCs/>
          <w:color w:val="4A2A75"/>
        </w:rPr>
        <w:t>6. Impacto Financeiro das Devoluções (OTIF Financeiro)</w:t>
      </w:r>
    </w:p>
    <w:p w14:paraId="134E55E3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6.1. Estimativa de valor imobilizado (leitura complementar)</w:t>
      </w:r>
    </w:p>
    <w:p w14:paraId="3F418FA6" w14:textId="77777777" w:rsidR="006C7E23" w:rsidRDefault="00000000">
      <w:pPr>
        <w:spacing w:after="140"/>
      </w:pPr>
      <w:r>
        <w:rPr>
          <w:b/>
          <w:bCs/>
          <w:color w:val="4A2A75"/>
        </w:rPr>
        <w:t>7. Solução Proposta: Calibração do SLA (10 → 15 dias)</w:t>
      </w:r>
    </w:p>
    <w:p w14:paraId="5130B742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7.1. Resultados Simulados</w:t>
      </w:r>
    </w:p>
    <w:p w14:paraId="54F344A7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7.2. Remanejamento de Rotas por Performance Individual</w:t>
      </w:r>
    </w:p>
    <w:p w14:paraId="139DA72B" w14:textId="77777777" w:rsidR="006C7E23" w:rsidRDefault="00000000">
      <w:pPr>
        <w:spacing w:after="140"/>
      </w:pPr>
      <w:r>
        <w:rPr>
          <w:b/>
          <w:bCs/>
          <w:color w:val="4A2A75"/>
        </w:rPr>
        <w:t xml:space="preserve">8. Plano de Reestruturação de </w:t>
      </w:r>
      <w:proofErr w:type="spellStart"/>
      <w:r>
        <w:rPr>
          <w:b/>
          <w:bCs/>
          <w:color w:val="4A2A75"/>
        </w:rPr>
        <w:t>Picking</w:t>
      </w:r>
      <w:proofErr w:type="spellEnd"/>
      <w:r>
        <w:rPr>
          <w:b/>
          <w:bCs/>
          <w:color w:val="4A2A75"/>
        </w:rPr>
        <w:t xml:space="preserve"> e </w:t>
      </w:r>
      <w:proofErr w:type="spellStart"/>
      <w:r>
        <w:rPr>
          <w:b/>
          <w:bCs/>
          <w:color w:val="4A2A75"/>
        </w:rPr>
        <w:t>Packing</w:t>
      </w:r>
      <w:proofErr w:type="spellEnd"/>
      <w:r>
        <w:rPr>
          <w:b/>
          <w:bCs/>
          <w:color w:val="4A2A75"/>
        </w:rPr>
        <w:t xml:space="preserve"> (DMAIC)</w:t>
      </w:r>
    </w:p>
    <w:p w14:paraId="2222D0B3" w14:textId="77777777" w:rsidR="006C7E23" w:rsidRDefault="00000000">
      <w:pPr>
        <w:spacing w:after="140"/>
      </w:pPr>
      <w:r>
        <w:rPr>
          <w:b/>
          <w:bCs/>
          <w:color w:val="4A2A75"/>
        </w:rPr>
        <w:t>9. Síntese: Gargalos, Qualidades e Oportunidades</w:t>
      </w:r>
    </w:p>
    <w:p w14:paraId="2CAD1FB9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9.1. Gargalos Identificados</w:t>
      </w:r>
    </w:p>
    <w:p w14:paraId="08A6B4A2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9.2. Qualidades e Pontos Fortes</w:t>
      </w:r>
    </w:p>
    <w:p w14:paraId="7E6C55B5" w14:textId="77777777" w:rsidR="006C7E23" w:rsidRDefault="00000000">
      <w:pPr>
        <w:spacing w:after="100"/>
        <w:ind w:left="260"/>
      </w:pPr>
      <w:r>
        <w:rPr>
          <w:color w:val="4A4A4A"/>
          <w:sz w:val="20"/>
          <w:szCs w:val="20"/>
        </w:rPr>
        <w:t>9.3. Oportunidades de Melhoria Adicionais</w:t>
      </w:r>
    </w:p>
    <w:p w14:paraId="1D20FD10" w14:textId="77777777" w:rsidR="006C7E23" w:rsidRDefault="00000000">
      <w:pPr>
        <w:spacing w:after="140"/>
      </w:pPr>
      <w:r>
        <w:rPr>
          <w:b/>
          <w:bCs/>
          <w:color w:val="4A2A75"/>
        </w:rPr>
        <w:t>10. Plano de Ação Priorizado</w:t>
      </w:r>
    </w:p>
    <w:p w14:paraId="15990F7B" w14:textId="77777777" w:rsidR="006C7E23" w:rsidRDefault="00000000">
      <w:pPr>
        <w:spacing w:after="140"/>
      </w:pPr>
      <w:r>
        <w:rPr>
          <w:b/>
          <w:bCs/>
          <w:color w:val="4A2A75"/>
        </w:rPr>
        <w:t>11. Conclusão</w:t>
      </w:r>
    </w:p>
    <w:p w14:paraId="2BF38BCB" w14:textId="77777777" w:rsidR="006C7E23" w:rsidRDefault="00000000">
      <w:r>
        <w:br w:type="page"/>
      </w:r>
    </w:p>
    <w:p w14:paraId="3946C7BC" w14:textId="77777777" w:rsidR="006C7E23" w:rsidRDefault="00000000">
      <w:pPr>
        <w:pStyle w:val="Ttulo1"/>
        <w:spacing w:before="420"/>
      </w:pPr>
      <w:r>
        <w:lastRenderedPageBreak/>
        <w:t>1. Sumário Executivo</w:t>
      </w:r>
    </w:p>
    <w:p w14:paraId="6B693ABB" w14:textId="77777777" w:rsidR="006C7E23" w:rsidRDefault="00000000">
      <w:pPr>
        <w:spacing w:after="200" w:line="300" w:lineRule="auto"/>
        <w:jc w:val="both"/>
      </w:pPr>
      <w:r>
        <w:t xml:space="preserve">Este relatório apresenta uma análise técnica </w:t>
      </w:r>
      <w:r>
        <w:rPr>
          <w:b/>
          <w:bCs/>
        </w:rPr>
        <w:t>ponta a ponta</w:t>
      </w:r>
      <w:r>
        <w:t xml:space="preserve"> da operação logística de uma empresa de distribuição fictícia, construída a partir de quatro fontes complementares fornecidas para este trabalho: a base bruta original (</w:t>
      </w:r>
      <w:proofErr w:type="spellStart"/>
      <w:r>
        <w:rPr>
          <w:b/>
          <w:bCs/>
        </w:rPr>
        <w:t>BD_Logistica</w:t>
      </w:r>
      <w:proofErr w:type="spellEnd"/>
      <w:r>
        <w:t>), a base tratada e enriquecida com medidas DAX (</w:t>
      </w:r>
      <w:proofErr w:type="spellStart"/>
      <w:r>
        <w:rPr>
          <w:b/>
          <w:bCs/>
        </w:rPr>
        <w:t>BD_Logistica_com_kpis_resumida</w:t>
      </w:r>
      <w:proofErr w:type="spellEnd"/>
      <w:r>
        <w:t>), o extrato utilizado como fonte do modelo em Power BI (</w:t>
      </w:r>
      <w:proofErr w:type="spellStart"/>
      <w:r>
        <w:rPr>
          <w:b/>
          <w:bCs/>
        </w:rPr>
        <w:t>dados_bd_em_csv</w:t>
      </w:r>
      <w:proofErr w:type="spellEnd"/>
      <w:r>
        <w:t xml:space="preserve">) e o estudo de caso redigido pelo autor do projeto. Todos os números do estudo de caso original foram </w:t>
      </w:r>
      <w:r>
        <w:rPr>
          <w:b/>
          <w:bCs/>
        </w:rPr>
        <w:t>auditados e reconciliados</w:t>
      </w:r>
      <w:r>
        <w:t xml:space="preserve"> diretamente contra os dados brutos — e conferem integralmente, o que atesta a qualidade técnica do trabalho de tratamento e modelagem realizado em Power Query e DAX.</w:t>
      </w:r>
    </w:p>
    <w:p w14:paraId="3EFF040E" w14:textId="77777777" w:rsidR="006C7E23" w:rsidRDefault="00000000">
      <w:pPr>
        <w:spacing w:after="200" w:line="300" w:lineRule="auto"/>
        <w:jc w:val="both"/>
      </w:pPr>
      <w:r>
        <w:t xml:space="preserve">A operação analisada compreende </w:t>
      </w:r>
      <w:r>
        <w:rPr>
          <w:b/>
          <w:bCs/>
        </w:rPr>
        <w:t>4.282 pedidos</w:t>
      </w:r>
      <w:r>
        <w:t xml:space="preserve"> faturados entre janeiro de 2019 e dezembro de 2021, totalizando </w:t>
      </w:r>
      <w:r>
        <w:rPr>
          <w:b/>
          <w:bCs/>
        </w:rPr>
        <w:t>R$ 1.451.761,70</w:t>
      </w:r>
      <w:r>
        <w:t xml:space="preserve"> em faturamento, distribuídos entre seis motoristas, seis clientes corporativos e três destinos (Belo Horizonte, Rio de Janeiro e São Paulo). O diagnóstico identificou uma operação estruturalmente fora de controle sob a política comercial vigente à época: </w:t>
      </w:r>
      <w:r>
        <w:rPr>
          <w:b/>
          <w:bCs/>
          <w:color w:val="FF6B5B"/>
        </w:rPr>
        <w:t>73,21% dos pedidos</w:t>
      </w:r>
      <w:r>
        <w:t xml:space="preserve"> eram entregues fora do prazo prometido de 10 dias, e apenas </w:t>
      </w:r>
      <w:r>
        <w:rPr>
          <w:b/>
          <w:bCs/>
          <w:color w:val="FF6B5B"/>
        </w:rPr>
        <w:t>6,89%</w:t>
      </w:r>
      <w:r>
        <w:t xml:space="preserve"> dos pedidos atingiam a entrega perfeita (OTIF — On-Time </w:t>
      </w:r>
      <w:proofErr w:type="spellStart"/>
      <w:r>
        <w:t>In-Full</w:t>
      </w:r>
      <w:proofErr w:type="spellEnd"/>
      <w:r>
        <w:t>). A causa raiz não estava isolada em um único elo da cadeia, mas espalhada em três frentes distintas e concorrentes: um SLA comercial estatisticamente inatingível, falhas de conferência no armazém (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>) e desequilíbrio na alocação de motoristas por rota.</w:t>
      </w:r>
    </w:p>
    <w:p w14:paraId="584B6B1F" w14:textId="77777777" w:rsidR="006C7E23" w:rsidRDefault="00000000">
      <w:pPr>
        <w:spacing w:after="200" w:line="300" w:lineRule="auto"/>
        <w:jc w:val="both"/>
      </w:pPr>
      <w:r>
        <w:t xml:space="preserve">A simulação de recalibração do SLA de 10 para 15 dias fixos — </w:t>
      </w:r>
      <w:proofErr w:type="gramStart"/>
      <w:r>
        <w:t>mantendo a mesma</w:t>
      </w:r>
      <w:proofErr w:type="gramEnd"/>
      <w:r>
        <w:t xml:space="preserve"> operação, sem qualquer investimento adicional — reduziria a taxa de atraso de 73,21% para </w:t>
      </w:r>
      <w:r>
        <w:rPr>
          <w:b/>
          <w:bCs/>
          <w:color w:val="4A2A75"/>
        </w:rPr>
        <w:t>29,12%</w:t>
      </w:r>
      <w:r>
        <w:t xml:space="preserve">, e elevaria o OTIF para 17,89%. Esse resultado, no entanto, é um </w:t>
      </w:r>
      <w:r>
        <w:rPr>
          <w:b/>
          <w:bCs/>
        </w:rPr>
        <w:t>ajuste de expectativa, não uma solução estrutural</w:t>
      </w:r>
      <w:r>
        <w:t xml:space="preserve">: ele apenas remove o ruído sistêmico que hoje esconde os dois problemas mais graves da operação — o índice de devolução (que atinge </w:t>
      </w:r>
      <w:r>
        <w:rPr>
          <w:b/>
          <w:bCs/>
          <w:color w:val="FF6B5B"/>
        </w:rPr>
        <w:t>75,25% dos pedidos</w:t>
      </w:r>
      <w:r>
        <w:t xml:space="preserve">) e a concentração de atraso residual na rota do Rio de Janeiro. Este relatório detalha o diagnóstico, quantifica o impacto financeiro de cada gargalo e propõe um plano de ação priorizado, combinando a calibração comercial imediata com um programa estruturado (DMAIC) de reestruturação da </w:t>
      </w:r>
      <w:proofErr w:type="spellStart"/>
      <w:r>
        <w:t>intralogística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4"/>
        <w:gridCol w:w="1844"/>
        <w:gridCol w:w="3083"/>
        <w:gridCol w:w="1799"/>
      </w:tblGrid>
      <w:tr w:rsidR="006C7E23" w14:paraId="395672EA" w14:textId="77777777"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0595C87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FATURAMENTO TOTAL</w:t>
            </w:r>
          </w:p>
          <w:p w14:paraId="5F3F7FD5" w14:textId="77777777" w:rsidR="006C7E23" w:rsidRDefault="00000000">
            <w:pPr>
              <w:jc w:val="center"/>
            </w:pPr>
            <w:r>
              <w:rPr>
                <w:b/>
                <w:bCs/>
                <w:color w:val="4A2A75"/>
                <w:sz w:val="26"/>
                <w:szCs w:val="26"/>
              </w:rPr>
              <w:t>R$ 1,45 M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217F196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TICKET MÉDIO</w:t>
            </w:r>
          </w:p>
          <w:p w14:paraId="0B9BCDDA" w14:textId="77777777" w:rsidR="006C7E23" w:rsidRDefault="00000000">
            <w:pPr>
              <w:jc w:val="center"/>
            </w:pPr>
            <w:r>
              <w:rPr>
                <w:b/>
                <w:bCs/>
                <w:color w:val="4A2A75"/>
                <w:sz w:val="26"/>
                <w:szCs w:val="26"/>
              </w:rPr>
              <w:t>R$ 339,04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334ED2C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TAXA DE ATRASO (SLA 10d)</w:t>
            </w:r>
          </w:p>
          <w:p w14:paraId="507BAE0A" w14:textId="77777777" w:rsidR="006C7E23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73,21%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3D0959E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OTIF ORIGINAL</w:t>
            </w:r>
          </w:p>
          <w:p w14:paraId="64089C06" w14:textId="77777777" w:rsidR="006C7E23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6,89%</w:t>
            </w:r>
          </w:p>
        </w:tc>
      </w:tr>
    </w:tbl>
    <w:p w14:paraId="44834197" w14:textId="77777777" w:rsidR="006C7E23" w:rsidRDefault="006C7E23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1814"/>
        <w:gridCol w:w="2112"/>
        <w:gridCol w:w="3134"/>
      </w:tblGrid>
      <w:tr w:rsidR="006C7E23" w14:paraId="7E70975B" w14:textId="77777777"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A781BBD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TAXA DE ATRASO (SLA 15d)</w:t>
            </w:r>
          </w:p>
          <w:p w14:paraId="6CCD125A" w14:textId="77777777" w:rsidR="006C7E23" w:rsidRDefault="00000000">
            <w:pPr>
              <w:jc w:val="center"/>
            </w:pPr>
            <w:r>
              <w:rPr>
                <w:b/>
                <w:bCs/>
                <w:color w:val="6C3FA8"/>
                <w:sz w:val="26"/>
                <w:szCs w:val="26"/>
              </w:rPr>
              <w:t>29,12%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245E7BB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OTIF COM NOVO SLA</w:t>
            </w:r>
          </w:p>
          <w:p w14:paraId="1ED7AD1A" w14:textId="77777777" w:rsidR="006C7E23" w:rsidRDefault="00000000">
            <w:pPr>
              <w:jc w:val="center"/>
            </w:pPr>
            <w:r>
              <w:rPr>
                <w:b/>
                <w:bCs/>
                <w:color w:val="6C3FA8"/>
                <w:sz w:val="26"/>
                <w:szCs w:val="26"/>
              </w:rPr>
              <w:t>17,89%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31892D0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PEDIDOS C/ DEVOLUÇÃO</w:t>
            </w:r>
          </w:p>
          <w:p w14:paraId="70C523A1" w14:textId="77777777" w:rsidR="006C7E23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75,25%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5F4D12C" w14:textId="77777777" w:rsidR="006C7E23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VALOR IMOBILIZADO EM DEVOLUÇÃO</w:t>
            </w:r>
          </w:p>
          <w:p w14:paraId="2C095E3A" w14:textId="77777777" w:rsidR="006C7E23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R$ 259,5 mil</w:t>
            </w:r>
          </w:p>
        </w:tc>
      </w:tr>
    </w:tbl>
    <w:p w14:paraId="406B786B" w14:textId="77777777" w:rsidR="006C7E23" w:rsidRDefault="006C7E23">
      <w:pPr>
        <w:spacing w:after="200"/>
      </w:pPr>
    </w:p>
    <w:p w14:paraId="75F76C2C" w14:textId="77777777" w:rsidR="006C7E23" w:rsidRDefault="006C7E23">
      <w:pPr>
        <w:pBdr>
          <w:bottom w:val="single" w:sz="6" w:space="1" w:color="CCCCCC"/>
        </w:pBdr>
        <w:spacing w:after="240"/>
      </w:pPr>
    </w:p>
    <w:p w14:paraId="2FFDC2E1" w14:textId="77777777" w:rsidR="006C7E23" w:rsidRDefault="00000000">
      <w:pPr>
        <w:pStyle w:val="Ttulo1"/>
        <w:spacing w:before="420"/>
      </w:pPr>
      <w:r>
        <w:t>2. Sobre Esta Análise: Fontes e Metodologia</w:t>
      </w:r>
    </w:p>
    <w:p w14:paraId="352A04FC" w14:textId="77777777" w:rsidR="006C7E23" w:rsidRDefault="00000000">
      <w:pPr>
        <w:spacing w:after="200" w:line="300" w:lineRule="auto"/>
        <w:jc w:val="both"/>
      </w:pPr>
      <w:r>
        <w:t>Foram utilizados quatro artefatos do projeto original, cada um cumprindo um papel distinto na cadeia de valor analítica:</w:t>
      </w:r>
    </w:p>
    <w:p w14:paraId="280E09D2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lastRenderedPageBreak/>
        <w:t>BD_Logistica.xlsx</w:t>
      </w:r>
      <w:r>
        <w:t xml:space="preserve"> — base bruta com 4.282 registros e 13 colunas (pedido, cliente-motorista, datas de emissão/previsão/saída/entrega, destino, itens, faturamento, quantidade e motivo de devolução e status). É o ponto de partida do pipeline, ainda sem qualquer medida calculada.</w:t>
      </w:r>
    </w:p>
    <w:p w14:paraId="3D9B81B3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BD_Logistica_com_kpis_resumida.xlsx</w:t>
      </w:r>
      <w:r>
        <w:t xml:space="preserve"> — base intermediária já tratada no Power Query, com os campos originais separados (cliente e motorista individualizados) e 8 medidas de apoio calculadas (OCT, Lead Time Interno, Transit Time, conformidades, OTIF e OTIF Financeiro), usada como referência de auditoria do modelo.</w:t>
      </w:r>
    </w:p>
    <w:p w14:paraId="11CB83A7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dados_bd_em_csv.csv</w:t>
      </w:r>
      <w:r>
        <w:t xml:space="preserve"> — extrato efetivamente consumido pelo modelo do Power BI, incluindo as colunas do cenário de simulação do novo SLA (OCT Prometido - Novo, OTD Novo e OTIF Novo). Esta foi a fonte primária para a reconciliação numérica deste relatório.</w:t>
      </w:r>
    </w:p>
    <w:p w14:paraId="4786460E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Estudo de caso do autor (</w:t>
      </w:r>
      <w:proofErr w:type="spellStart"/>
      <w:r>
        <w:rPr>
          <w:b/>
          <w:bCs/>
        </w:rPr>
        <w:t>docx</w:t>
      </w:r>
      <w:proofErr w:type="spellEnd"/>
      <w:r>
        <w:rPr>
          <w:b/>
          <w:bCs/>
        </w:rPr>
        <w:t>)</w:t>
      </w:r>
      <w:r>
        <w:t xml:space="preserve"> — relatório original com a narrativa do projeto, prints do dashboard em Power BI (61 imagens) e a proposta de reestruturação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>. Os achados nele descritos foram validados linha a linha contra os dados brutos.</w:t>
      </w:r>
    </w:p>
    <w:p w14:paraId="053A5D42" w14:textId="77777777" w:rsidR="006C7E23" w:rsidRDefault="00000000">
      <w:pPr>
        <w:spacing w:after="200" w:line="300" w:lineRule="auto"/>
        <w:jc w:val="both"/>
      </w:pPr>
      <w:r>
        <w:t xml:space="preserve">Todas as métricas citadas neste documento foram </w:t>
      </w:r>
      <w:r>
        <w:rPr>
          <w:b/>
          <w:bCs/>
        </w:rPr>
        <w:t>recalculadas de forma independente</w:t>
      </w:r>
      <w:r>
        <w:t xml:space="preserve"> em Python (pandas) a partir dos arquivos brutos — não foram apenas copiadas do relatório do autor — e conferem com os valores apresentados nos dashboards, o que reforça a confiabilidade das medidas DAX originais. Onde identificamos leituras adicionais (não exploradas no relatório original), isso está sinalizado explicitamente ao longo do texto.</w:t>
      </w:r>
    </w:p>
    <w:p w14:paraId="2B185C1C" w14:textId="77777777" w:rsidR="006C7E23" w:rsidRDefault="00000000">
      <w:pPr>
        <w:pStyle w:val="Ttulo2"/>
        <w:spacing w:before="320" w:after="160"/>
      </w:pPr>
      <w:r>
        <w:t>2.1. Glossário rápido de indicadores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50"/>
        <w:gridCol w:w="2700"/>
      </w:tblGrid>
      <w:tr w:rsidR="006C7E23" w14:paraId="4618EE00" w14:textId="77777777">
        <w:trPr>
          <w:tblHeader/>
        </w:trPr>
        <w:tc>
          <w:tcPr>
            <w:tcW w:w="12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25B50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54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5EE4B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  <w:tc>
          <w:tcPr>
            <w:tcW w:w="27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3921A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Neste estudo</w:t>
            </w:r>
          </w:p>
        </w:tc>
      </w:tr>
      <w:tr w:rsidR="006C7E23" w14:paraId="29093D1B" w14:textId="77777777"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F47D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OTD</w:t>
            </w:r>
          </w:p>
        </w:tc>
        <w:tc>
          <w:tcPr>
            <w:tcW w:w="5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32A9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On-Time Delivery — pedido entregue dentro do prazo prometido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6B56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Status - OTD / OTD Novo</w:t>
            </w:r>
          </w:p>
        </w:tc>
      </w:tr>
      <w:tr w:rsidR="006C7E23" w14:paraId="60A7CC6B" w14:textId="77777777">
        <w:tc>
          <w:tcPr>
            <w:tcW w:w="12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9F9B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OTIF</w:t>
            </w:r>
          </w:p>
        </w:tc>
        <w:tc>
          <w:tcPr>
            <w:tcW w:w="54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ECC0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On-Time </w:t>
            </w:r>
            <w:proofErr w:type="spellStart"/>
            <w:r>
              <w:rPr>
                <w:color w:val="3A3A3A"/>
                <w:sz w:val="19"/>
                <w:szCs w:val="19"/>
              </w:rPr>
              <w:t>In-Full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— entrega no prazo E sem devolução/avaria</w:t>
            </w:r>
          </w:p>
        </w:tc>
        <w:tc>
          <w:tcPr>
            <w:tcW w:w="27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733B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6,89% (original) → 17,89% (novo SLA)</w:t>
            </w:r>
          </w:p>
        </w:tc>
      </w:tr>
      <w:tr w:rsidR="006C7E23" w14:paraId="40A4D437" w14:textId="77777777"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A160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LTI</w:t>
            </w:r>
          </w:p>
        </w:tc>
        <w:tc>
          <w:tcPr>
            <w:tcW w:w="5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B559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Lead Time Interno — tempo entre emissão do pedido e saída para entrega (etapa de armazém)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E8BC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Média 6,59 dias</w:t>
            </w:r>
          </w:p>
        </w:tc>
      </w:tr>
      <w:tr w:rsidR="006C7E23" w14:paraId="77F74F6B" w14:textId="77777777">
        <w:tc>
          <w:tcPr>
            <w:tcW w:w="12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E1F0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TT</w:t>
            </w:r>
          </w:p>
        </w:tc>
        <w:tc>
          <w:tcPr>
            <w:tcW w:w="54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9B36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Transit Time / </w:t>
            </w:r>
            <w:proofErr w:type="spellStart"/>
            <w:r>
              <w:rPr>
                <w:color w:val="3A3A3A"/>
                <w:sz w:val="19"/>
                <w:szCs w:val="19"/>
              </w:rPr>
              <w:t>Last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Mile — tempo entre a saída e a entrega real (etapa de transporte)</w:t>
            </w:r>
          </w:p>
        </w:tc>
        <w:tc>
          <w:tcPr>
            <w:tcW w:w="27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4380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Média 6,53 dias</w:t>
            </w:r>
          </w:p>
        </w:tc>
      </w:tr>
      <w:tr w:rsidR="006C7E23" w14:paraId="06BD2343" w14:textId="77777777"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EB00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OCT</w:t>
            </w:r>
          </w:p>
        </w:tc>
        <w:tc>
          <w:tcPr>
            <w:tcW w:w="5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32B8B" w14:textId="77777777" w:rsidR="006C7E23" w:rsidRDefault="00000000">
            <w:pPr>
              <w:jc w:val="center"/>
            </w:pPr>
            <w:proofErr w:type="spellStart"/>
            <w:r>
              <w:rPr>
                <w:color w:val="3A3A3A"/>
                <w:sz w:val="19"/>
                <w:szCs w:val="19"/>
              </w:rPr>
              <w:t>Order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A3A3A"/>
                <w:sz w:val="19"/>
                <w:szCs w:val="19"/>
              </w:rPr>
              <w:t>Cycle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Time — ciclo total do pedido (LTI + TT)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662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Média 13,12 dias</w:t>
            </w:r>
          </w:p>
        </w:tc>
      </w:tr>
      <w:tr w:rsidR="006C7E23" w14:paraId="005EE665" w14:textId="77777777">
        <w:tc>
          <w:tcPr>
            <w:tcW w:w="12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6CF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OTIF Financeiro</w:t>
            </w:r>
          </w:p>
        </w:tc>
        <w:tc>
          <w:tcPr>
            <w:tcW w:w="54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6752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Segmentação do OTIF pelo impacto financeiro da devolução</w:t>
            </w:r>
          </w:p>
        </w:tc>
        <w:tc>
          <w:tcPr>
            <w:tcW w:w="27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A237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Satisfeito / Insatisfeito s/ prejuízo / Insatisfeito c/ prejuízo</w:t>
            </w:r>
          </w:p>
        </w:tc>
      </w:tr>
    </w:tbl>
    <w:p w14:paraId="53B96E95" w14:textId="77777777" w:rsidR="006C7E23" w:rsidRDefault="00000000">
      <w:r>
        <w:br w:type="page"/>
      </w:r>
    </w:p>
    <w:p w14:paraId="0BD42552" w14:textId="77777777" w:rsidR="006C7E23" w:rsidRDefault="00000000">
      <w:pPr>
        <w:pStyle w:val="Ttulo1"/>
        <w:spacing w:before="420"/>
      </w:pPr>
      <w:r>
        <w:lastRenderedPageBreak/>
        <w:t>3. Panorama Financeiro e Comercial</w:t>
      </w:r>
    </w:p>
    <w:p w14:paraId="64A87ED2" w14:textId="77777777" w:rsidR="006C7E23" w:rsidRDefault="00000000">
      <w:pPr>
        <w:pStyle w:val="Ttulo2"/>
        <w:spacing w:before="320" w:after="160"/>
      </w:pPr>
      <w:r>
        <w:t>3.1. Faturamento e Ticket Médio</w:t>
      </w:r>
    </w:p>
    <w:p w14:paraId="2F163BCC" w14:textId="3F5F780D" w:rsidR="006C7E23" w:rsidRDefault="00000000">
      <w:pPr>
        <w:spacing w:after="200" w:line="300" w:lineRule="auto"/>
        <w:jc w:val="both"/>
      </w:pPr>
      <w:r>
        <w:t xml:space="preserve">A série histórica soma </w:t>
      </w:r>
      <w:r>
        <w:rPr>
          <w:b/>
          <w:bCs/>
        </w:rPr>
        <w:t>R$ 1.451.761,70</w:t>
      </w:r>
      <w:r>
        <w:t xml:space="preserve"> em três anos incompletos de operação (o ano de 2019 possui poucos meses de dados). O ano de </w:t>
      </w:r>
      <w:r>
        <w:rPr>
          <w:b/>
          <w:bCs/>
        </w:rPr>
        <w:t>2020 concentra 69,08%</w:t>
      </w:r>
      <w:r>
        <w:t xml:space="preserve"> de todo o faturamento da série (R$ 1.002.931,50), seguido por 2021 com 23,51% (R$ 341.359,80) e 2019 com apenas 7,4% (R$ 107.470,40) — uma leitura que precisa ser feita com cautela, já que reflete cobertura desigual de meses por ano, e não necessariamente um crescimento de 9x na operação.</w:t>
      </w:r>
    </w:p>
    <w:p w14:paraId="0300BE1B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6085CA6" wp14:editId="79D71CC6">
            <wp:extent cx="5124450" cy="2867025"/>
            <wp:effectExtent l="0" t="0" r="0" b="0"/>
            <wp:docPr id="2010858373" name="Imagem 2010858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BFBD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Faturamento total e por ano — dashboard original em Power BI.</w:t>
      </w:r>
    </w:p>
    <w:p w14:paraId="158D9CC4" w14:textId="77777777" w:rsidR="006C7E23" w:rsidRDefault="00000000">
      <w:pPr>
        <w:spacing w:after="200" w:line="300" w:lineRule="auto"/>
        <w:jc w:val="both"/>
      </w:pPr>
      <w:r>
        <w:t xml:space="preserve">O </w:t>
      </w:r>
      <w:r>
        <w:rPr>
          <w:b/>
          <w:bCs/>
        </w:rPr>
        <w:t>ticket médio é de R$ 339,04</w:t>
      </w:r>
      <w:r>
        <w:t xml:space="preserve">, com pedidos variando entre R$ 15,00 e R$ 1.020,00 — uma amplitude compatível com um mix de itens de varejo popular. Essa homogeneidade de ticket é relevante para o diagnóstico: como o valor por pedido não é o fator que dispara o prejuízo, o problema financeiro deste case está concentrado no </w:t>
      </w:r>
      <w:r>
        <w:rPr>
          <w:b/>
          <w:bCs/>
        </w:rPr>
        <w:t>volume de pedidos afetados</w:t>
      </w:r>
      <w:r>
        <w:t>, não na magnitude de cada perda individual.</w:t>
      </w:r>
    </w:p>
    <w:p w14:paraId="74C3D348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77DB47" wp14:editId="2D241CAB">
            <wp:extent cx="4210050" cy="2181225"/>
            <wp:effectExtent l="0" t="0" r="0" b="0"/>
            <wp:docPr id="1210552867" name="Imagem 121055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6752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Ticket médio, maior e menor venda.</w:t>
      </w:r>
    </w:p>
    <w:p w14:paraId="26C17980" w14:textId="77777777" w:rsidR="006C7E23" w:rsidRDefault="00000000">
      <w:pPr>
        <w:pStyle w:val="Ttulo2"/>
        <w:spacing w:before="320" w:after="160"/>
      </w:pPr>
      <w:r>
        <w:t>3.2. Sazonalidade do Faturamento</w:t>
      </w:r>
    </w:p>
    <w:p w14:paraId="675EECA1" w14:textId="77777777" w:rsidR="006C7E23" w:rsidRDefault="00000000">
      <w:pPr>
        <w:spacing w:after="200" w:line="300" w:lineRule="auto"/>
        <w:jc w:val="both"/>
      </w:pPr>
      <w:r>
        <w:lastRenderedPageBreak/>
        <w:t xml:space="preserve">Ao consolidar os três anos por mês-calendário, observa-se um padrão sazonal nítido: </w:t>
      </w:r>
      <w:r>
        <w:rPr>
          <w:b/>
          <w:bCs/>
        </w:rPr>
        <w:t>agosto (R$ 200 mil) e setembro (R$ 183 mil)</w:t>
      </w:r>
      <w:r>
        <w:t xml:space="preserve"> são os meses de pico, sustentando um segundo semestre consistentemente mais forte que o primeiro, enquanto </w:t>
      </w:r>
      <w:r>
        <w:rPr>
          <w:b/>
          <w:bCs/>
          <w:color w:val="FF6B5B"/>
        </w:rPr>
        <w:t>janeiro e fevereiro</w:t>
      </w:r>
      <w:r>
        <w:t xml:space="preserve"> registram os menores volumes (R$ 61 mil cada). Essa sazonalidade tem implicação operacional direta: o dimensionamento de mão de obra no armazém e a alocação de frota deveriam acompanhar esse ciclo, reforçando o time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 xml:space="preserve"> a partir de junho para absorver o pico de julho a novembro sem degradar ainda mais a taxa de erro.</w:t>
      </w:r>
    </w:p>
    <w:p w14:paraId="3FA8C11E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D6C98D9" wp14:editId="2A3096AC">
            <wp:extent cx="5667375" cy="2867025"/>
            <wp:effectExtent l="0" t="0" r="0" b="0"/>
            <wp:docPr id="609115224" name="Imagem 60911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390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elaborado nesta análise a partir da base bruta consolidada por mês-calendário (2019-2021).</w:t>
      </w:r>
    </w:p>
    <w:p w14:paraId="142F4916" w14:textId="77777777" w:rsidR="006C7E23" w:rsidRDefault="00000000">
      <w:pPr>
        <w:pStyle w:val="Ttulo2"/>
        <w:spacing w:before="320" w:after="160"/>
      </w:pPr>
      <w:r>
        <w:t>3.3. Concentração de Clientes — Curva de Pareto</w:t>
      </w:r>
    </w:p>
    <w:p w14:paraId="75138870" w14:textId="77777777" w:rsidR="006C7E23" w:rsidRDefault="00000000">
      <w:pPr>
        <w:spacing w:after="200" w:line="300" w:lineRule="auto"/>
        <w:jc w:val="both"/>
      </w:pPr>
      <w:r>
        <w:t xml:space="preserve">A carteira é composta por apenas seis clientes corporativos, e a distribuição de faturamento segue um Pareto clássico: </w:t>
      </w:r>
      <w:r>
        <w:rPr>
          <w:b/>
          <w:bCs/>
        </w:rPr>
        <w:t>Walmart, Casas Bahia, Magazine Luiza e Americanas concentram 83,76%</w:t>
      </w:r>
      <w:r>
        <w:t xml:space="preserve"> do faturamento total, qualificando-se como </w:t>
      </w:r>
      <w:r>
        <w:rPr>
          <w:b/>
          <w:bCs/>
        </w:rPr>
        <w:t>Clientes de Alto Impacto</w:t>
      </w:r>
      <w:r>
        <w:t xml:space="preserve">. Casa e Vídeo e Ricardo Eletro, com 16,24% combinados, são </w:t>
      </w:r>
      <w:r>
        <w:rPr>
          <w:b/>
          <w:bCs/>
        </w:rPr>
        <w:t>Clientes de Suporte</w:t>
      </w:r>
      <w:r>
        <w:t>. Essa concentração eleva o risco comercial de cada falha operacional: como apurado na Seção 4, os mesmos quatro clientes de alto impacto são os que mais sofrem com prazo e devolução, o que amplifica a urgência de resolver os gargalos — a exposição de receita a insatisfação de nível de serviço não está diluída, está concentrada.</w:t>
      </w:r>
    </w:p>
    <w:p w14:paraId="09661A6A" w14:textId="77777777" w:rsidR="006C7E2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5111628" wp14:editId="1B8BD5EC">
            <wp:extent cx="5486400" cy="3019425"/>
            <wp:effectExtent l="0" t="0" r="0" b="0"/>
            <wp:docPr id="902383283" name="Imagem 902383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360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de Pareto de clientes — dashboard original em Power BI.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1600"/>
        <w:gridCol w:w="1750"/>
        <w:gridCol w:w="1500"/>
      </w:tblGrid>
      <w:tr w:rsidR="006C7E23" w14:paraId="231EA756" w14:textId="77777777">
        <w:trPr>
          <w:tblHeader/>
        </w:trPr>
        <w:tc>
          <w:tcPr>
            <w:tcW w:w="24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40C8F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</w:p>
        </w:tc>
        <w:tc>
          <w:tcPr>
            <w:tcW w:w="21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2BD1D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Faturamento</w:t>
            </w:r>
          </w:p>
        </w:tc>
        <w:tc>
          <w:tcPr>
            <w:tcW w:w="16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DE258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do Total</w:t>
            </w:r>
          </w:p>
        </w:tc>
        <w:tc>
          <w:tcPr>
            <w:tcW w:w="17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11784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Acumulado</w:t>
            </w:r>
          </w:p>
        </w:tc>
        <w:tc>
          <w:tcPr>
            <w:tcW w:w="15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02315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6C7E23" w14:paraId="5C0F9AA2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6456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Walmart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0DB2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R$ 393.165,90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542F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27,08%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79E2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27,08%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A371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 Impacto</w:t>
            </w:r>
          </w:p>
        </w:tc>
      </w:tr>
      <w:tr w:rsidR="006C7E23" w14:paraId="788FF869" w14:textId="77777777">
        <w:tc>
          <w:tcPr>
            <w:tcW w:w="24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C24A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Casas Bahia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7C2F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R$ 348.189,80</w:t>
            </w:r>
          </w:p>
        </w:tc>
        <w:tc>
          <w:tcPr>
            <w:tcW w:w="16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E2C9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23,98%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211B8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51,06%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EB0C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 Impacto</w:t>
            </w:r>
          </w:p>
        </w:tc>
      </w:tr>
      <w:tr w:rsidR="006C7E23" w14:paraId="28FCAD73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9D09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Magazine Luiza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4728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R$ 285.890,90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B2D1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19,69%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DA91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70,75%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CBA1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 Impacto</w:t>
            </w:r>
          </w:p>
        </w:tc>
      </w:tr>
      <w:tr w:rsidR="006C7E23" w14:paraId="0BCC27B8" w14:textId="77777777">
        <w:tc>
          <w:tcPr>
            <w:tcW w:w="24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6D02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Americanas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B153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R$ 188.903,60</w:t>
            </w:r>
          </w:p>
        </w:tc>
        <w:tc>
          <w:tcPr>
            <w:tcW w:w="16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96F9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13,01%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A5BE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83,76%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39BC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 Impacto</w:t>
            </w:r>
          </w:p>
        </w:tc>
      </w:tr>
      <w:tr w:rsidR="006C7E23" w14:paraId="417B5048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C6C3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Casa e Vídeo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0B14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R$ 131.108,20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CEFB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9,03%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4346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92,79%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B9B8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Suporte</w:t>
            </w:r>
          </w:p>
        </w:tc>
      </w:tr>
      <w:tr w:rsidR="006C7E23" w14:paraId="5F1490A0" w14:textId="77777777">
        <w:tc>
          <w:tcPr>
            <w:tcW w:w="24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3AEC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Ricardo Eletro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3D85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R$ 104.503,30</w:t>
            </w:r>
          </w:p>
        </w:tc>
        <w:tc>
          <w:tcPr>
            <w:tcW w:w="16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02EB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7,20%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E096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99,99%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AF70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Suporte</w:t>
            </w:r>
          </w:p>
        </w:tc>
      </w:tr>
    </w:tbl>
    <w:p w14:paraId="32FD4156" w14:textId="77777777" w:rsidR="006C7E23" w:rsidRDefault="006C7E23">
      <w:pPr>
        <w:spacing w:after="120"/>
      </w:pPr>
    </w:p>
    <w:p w14:paraId="38C059B5" w14:textId="77777777" w:rsidR="006C7E23" w:rsidRDefault="00000000">
      <w:pPr>
        <w:spacing w:after="200" w:line="300" w:lineRule="auto"/>
        <w:jc w:val="center"/>
      </w:pPr>
      <w:r>
        <w:t>Tabela recalculada a partir da base bruta (soma de R$ Faturados por Cliente), reconciliada com o gráfico de Pareto do dashboard original.</w:t>
      </w:r>
    </w:p>
    <w:p w14:paraId="463E49F3" w14:textId="77777777" w:rsidR="006C7E23" w:rsidRDefault="00000000">
      <w:r>
        <w:br w:type="page"/>
      </w:r>
    </w:p>
    <w:p w14:paraId="5EA7B6E8" w14:textId="77777777" w:rsidR="006C7E23" w:rsidRDefault="00000000">
      <w:pPr>
        <w:pStyle w:val="Ttulo1"/>
        <w:spacing w:before="420"/>
      </w:pPr>
      <w:r>
        <w:lastRenderedPageBreak/>
        <w:t>4. Diagnóstico de Nível de Serviço — Cenário Original</w:t>
      </w:r>
    </w:p>
    <w:p w14:paraId="6320D4FF" w14:textId="77777777" w:rsidR="006C7E23" w:rsidRDefault="00000000">
      <w:pPr>
        <w:pStyle w:val="Ttulo2"/>
        <w:spacing w:before="320" w:after="160"/>
      </w:pPr>
      <w:r>
        <w:t>4.1. OTIF e Taxa de Atraso</w:t>
      </w:r>
    </w:p>
    <w:p w14:paraId="7D9817FE" w14:textId="77777777" w:rsidR="006C7E23" w:rsidRDefault="00000000">
      <w:pPr>
        <w:spacing w:after="200" w:line="300" w:lineRule="auto"/>
        <w:jc w:val="both"/>
      </w:pPr>
      <w:r>
        <w:t xml:space="preserve">Sob a política comercial original — prazo fixo de </w:t>
      </w:r>
      <w:r>
        <w:rPr>
          <w:b/>
          <w:bCs/>
        </w:rPr>
        <w:t>10 dias</w:t>
      </w:r>
      <w:r>
        <w:t xml:space="preserve"> para qualquer destino —, </w:t>
      </w:r>
      <w:r>
        <w:rPr>
          <w:b/>
          <w:bCs/>
          <w:color w:val="FF6B5B"/>
        </w:rPr>
        <w:t>73,21% de todos os pedidos (3.135 de 4.282) chegaram atrasados</w:t>
      </w:r>
      <w:r>
        <w:t xml:space="preserve">. O corolário direto disso é o colapso do indicador de entrega perfeita: o </w:t>
      </w:r>
      <w:r>
        <w:rPr>
          <w:b/>
          <w:bCs/>
        </w:rPr>
        <w:t>OTIF fica em apenas 6,89%</w:t>
      </w:r>
      <w:r>
        <w:t xml:space="preserve"> (295 pedidos satisfeitos), o que equivale a dizer que, de cada 100 pedidos despachados, apenas 7 chegam no prazo combinado e sem qualquer avaria ou item incorreto. Este é o retrato de uma operação sistemicamente fora de controle, e não de falhas pontuais — quando um indicador central de serviço opera abaixo de 10% de forma sustentada ao longo de três anos, a causa é estrutural, não estatística.</w:t>
      </w:r>
    </w:p>
    <w:p w14:paraId="4EDD77EA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E9A8CF5" wp14:editId="6A1E851E">
            <wp:extent cx="5486400" cy="3057525"/>
            <wp:effectExtent l="0" t="0" r="0" b="0"/>
            <wp:docPr id="698713213" name="Imagem 69871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239A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Matriz OTIF x Faturamento (cenário original, prazo de 10 dias) — dashboard original em Power BI.</w:t>
      </w:r>
    </w:p>
    <w:p w14:paraId="4DB88B62" w14:textId="77777777" w:rsidR="006C7E23" w:rsidRDefault="00000000">
      <w:pPr>
        <w:spacing w:after="200" w:line="300" w:lineRule="auto"/>
        <w:jc w:val="both"/>
      </w:pPr>
      <w:r>
        <w:t xml:space="preserve">É importante notar que, mesmo com o indicador de serviço baixíssimo, o </w:t>
      </w:r>
      <w:r>
        <w:rPr>
          <w:b/>
          <w:bCs/>
        </w:rPr>
        <w:t>faturamento associado a pedidos "Insatisfeitos" chega a 93,02%</w:t>
      </w:r>
      <w:r>
        <w:t xml:space="preserve"> do total — ou seja, a empresa seguiu faturando e entregando (ainda que fora do padrão de excelência) a esmagadora maioria dos pedidos. Isso é coerente com o diagnóstico de que o problema é de </w:t>
      </w:r>
      <w:r>
        <w:rPr>
          <w:b/>
          <w:bCs/>
        </w:rPr>
        <w:t>qualidade de processo e calibração de expectativa</w:t>
      </w:r>
      <w:r>
        <w:t>, e não de ruptura de fornecimento ou perda de vendas.</w:t>
      </w:r>
    </w:p>
    <w:p w14:paraId="3BC81089" w14:textId="77777777" w:rsidR="006C7E23" w:rsidRPr="00AE2CFE" w:rsidRDefault="00000000">
      <w:pPr>
        <w:pStyle w:val="Ttulo2"/>
        <w:spacing w:before="320" w:after="160"/>
        <w:rPr>
          <w:lang w:val="en-US"/>
        </w:rPr>
      </w:pPr>
      <w:r w:rsidRPr="00AE2CFE">
        <w:rPr>
          <w:lang w:val="en-US"/>
        </w:rPr>
        <w:t xml:space="preserve">4.2. Tempos de Ciclo: Lead Time </w:t>
      </w:r>
      <w:proofErr w:type="spellStart"/>
      <w:r w:rsidRPr="00AE2CFE">
        <w:rPr>
          <w:lang w:val="en-US"/>
        </w:rPr>
        <w:t>Interno</w:t>
      </w:r>
      <w:proofErr w:type="spellEnd"/>
      <w:r w:rsidRPr="00AE2CFE">
        <w:rPr>
          <w:lang w:val="en-US"/>
        </w:rPr>
        <w:t>, Transit Time e Order Cycle Time</w:t>
      </w:r>
    </w:p>
    <w:p w14:paraId="052F1AC2" w14:textId="77777777" w:rsidR="006C7E23" w:rsidRDefault="00000000">
      <w:pPr>
        <w:spacing w:after="200" w:line="300" w:lineRule="auto"/>
        <w:jc w:val="both"/>
      </w:pPr>
      <w:r>
        <w:t xml:space="preserve">Decompondo o ciclo do pedido em suas duas etapas — armazém (Lead Time Interno, do recebimento do pedido até a saída para entrega) e transporte (Transit Time / </w:t>
      </w:r>
      <w:proofErr w:type="spellStart"/>
      <w:r>
        <w:t>Last</w:t>
      </w:r>
      <w:proofErr w:type="spellEnd"/>
      <w:r>
        <w:t xml:space="preserve"> Mile, da saída até a entrega real) — observa-se que ambas contribuem de forma quase equivalente para o atraso total: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1286"/>
        <w:gridCol w:w="1486"/>
        <w:gridCol w:w="1177"/>
        <w:gridCol w:w="1382"/>
        <w:gridCol w:w="1563"/>
      </w:tblGrid>
      <w:tr w:rsidR="006C7E23" w14:paraId="36BDADDC" w14:textId="77777777">
        <w:trPr>
          <w:tblHeader/>
        </w:trPr>
        <w:tc>
          <w:tcPr>
            <w:tcW w:w="26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246C9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13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283B4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15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385CE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 (P50)</w:t>
            </w:r>
          </w:p>
        </w:tc>
        <w:tc>
          <w:tcPr>
            <w:tcW w:w="12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0FB97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P95</w:t>
            </w:r>
          </w:p>
        </w:tc>
        <w:tc>
          <w:tcPr>
            <w:tcW w:w="14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09BD5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Padrão</w:t>
            </w:r>
          </w:p>
        </w:tc>
        <w:tc>
          <w:tcPr>
            <w:tcW w:w="16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71B42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Fora do Prazo</w:t>
            </w:r>
          </w:p>
        </w:tc>
      </w:tr>
      <w:tr w:rsidR="006C7E23" w14:paraId="05721CA5" w14:textId="77777777"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3A69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LTI (armazém)</w:t>
            </w:r>
          </w:p>
        </w:tc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9D3C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6,59 dias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D6D1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 dias</w:t>
            </w:r>
          </w:p>
        </w:tc>
        <w:tc>
          <w:tcPr>
            <w:tcW w:w="1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F5E0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14 dias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103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4,17</w:t>
            </w:r>
          </w:p>
        </w:tc>
        <w:tc>
          <w:tcPr>
            <w:tcW w:w="1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39CC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53,43%</w:t>
            </w:r>
          </w:p>
        </w:tc>
      </w:tr>
      <w:tr w:rsidR="006C7E23" w14:paraId="507E31A8" w14:textId="77777777">
        <w:tc>
          <w:tcPr>
            <w:tcW w:w="26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188B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TT (transporte)</w:t>
            </w:r>
          </w:p>
        </w:tc>
        <w:tc>
          <w:tcPr>
            <w:tcW w:w="13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66C6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6,53 dias</w:t>
            </w:r>
          </w:p>
        </w:tc>
        <w:tc>
          <w:tcPr>
            <w:tcW w:w="15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8C34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 dias</w:t>
            </w:r>
          </w:p>
        </w:tc>
        <w:tc>
          <w:tcPr>
            <w:tcW w:w="12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7F59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14 dias</w:t>
            </w:r>
          </w:p>
        </w:tc>
        <w:tc>
          <w:tcPr>
            <w:tcW w:w="14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6C08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4,15</w:t>
            </w:r>
          </w:p>
        </w:tc>
        <w:tc>
          <w:tcPr>
            <w:tcW w:w="16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41CB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52,90%</w:t>
            </w:r>
          </w:p>
        </w:tc>
      </w:tr>
      <w:tr w:rsidR="006C7E23" w14:paraId="3ABF027F" w14:textId="77777777"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D51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OCT (ciclo total)</w:t>
            </w:r>
          </w:p>
        </w:tc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1E19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13,12 dias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9283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13 dias</w:t>
            </w:r>
          </w:p>
        </w:tc>
        <w:tc>
          <w:tcPr>
            <w:tcW w:w="1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89A3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 dias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076A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3,82</w:t>
            </w:r>
          </w:p>
        </w:tc>
        <w:tc>
          <w:tcPr>
            <w:tcW w:w="1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0CF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</w:tr>
    </w:tbl>
    <w:p w14:paraId="4CCFA6C4" w14:textId="77777777" w:rsidR="006C7E23" w:rsidRDefault="006C7E23">
      <w:pPr>
        <w:spacing w:after="160"/>
      </w:pPr>
    </w:p>
    <w:p w14:paraId="553D84DE" w14:textId="77777777" w:rsidR="006C7E23" w:rsidRDefault="00000000">
      <w:pPr>
        <w:spacing w:after="200" w:line="300" w:lineRule="auto"/>
        <w:jc w:val="both"/>
      </w:pPr>
      <w:r>
        <w:lastRenderedPageBreak/>
        <w:t xml:space="preserve">O achado mais relevante desta decomposição é que </w:t>
      </w:r>
      <w:r>
        <w:rPr>
          <w:b/>
          <w:bCs/>
        </w:rPr>
        <w:t>nenhuma das duas etapas isoladamente explica o atraso</w:t>
      </w:r>
      <w:r>
        <w:t xml:space="preserve"> — armazém e transporte falham em proporções quase idênticas (53,43% vs. 52,90%). Isso descarta a hipótese de que a solução esteja em apenas "acelerar o motorista" ou apenas "acelerar o armazém": o problema é sistêmico e a meta comercial original (10 dias) está dessincronizada da soma real dos dois processos, cujo P50 combinado (OCT) já é de 13 dias — ou seja, </w:t>
      </w:r>
      <w:r>
        <w:rPr>
          <w:b/>
          <w:bCs/>
        </w:rPr>
        <w:t>mesmo no cenário mediano/típico, a operação já não cumpre o prazo prometido</w:t>
      </w:r>
      <w:r>
        <w:t>.</w:t>
      </w:r>
    </w:p>
    <w:p w14:paraId="341F266B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FE5C23E" wp14:editId="1C597F0C">
            <wp:extent cx="5124450" cy="2886075"/>
            <wp:effectExtent l="0" t="0" r="0" b="0"/>
            <wp:docPr id="1015637990" name="Imagem 101563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B4AF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Transit Time no prazo vs. excedido — dashboard original em Power BI.</w:t>
      </w:r>
    </w:p>
    <w:p w14:paraId="044D60F0" w14:textId="77777777" w:rsidR="006C7E23" w:rsidRDefault="00000000">
      <w:pPr>
        <w:spacing w:after="200" w:line="300" w:lineRule="auto"/>
        <w:jc w:val="both"/>
      </w:pPr>
      <w:r>
        <w:t xml:space="preserve">O gráfico de desvio de SLA (funil de variação) reforça essa leitura: a distribuição de atrasos é praticamente contínua, do dia 1 ao dia 10 de atraso, sem um ponto de corte claro que indique uma causa isolada (como um único motorista ou uma única rota travando tudo). Isso é a assinatura estatística de um </w:t>
      </w:r>
      <w:r>
        <w:rPr>
          <w:b/>
          <w:bCs/>
        </w:rPr>
        <w:t>SLA mal calibrado</w:t>
      </w:r>
      <w:r>
        <w:t xml:space="preserve"> aplicado sobre um processo com variabilidade natural — e não de uma falha crítica pontual.</w:t>
      </w:r>
    </w:p>
    <w:p w14:paraId="278C95FB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6B9D84" wp14:editId="2B86A699">
            <wp:extent cx="5486400" cy="3048000"/>
            <wp:effectExtent l="0" t="0" r="0" b="0"/>
            <wp:docPr id="1584136354" name="Imagem 1584136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79E6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Funil de desvio de SLA (Lead Time </w:t>
      </w:r>
      <w:proofErr w:type="spellStart"/>
      <w:r>
        <w:rPr>
          <w:i/>
          <w:iCs/>
          <w:color w:val="666666"/>
          <w:sz w:val="18"/>
          <w:szCs w:val="18"/>
        </w:rPr>
        <w:t>Variance</w:t>
      </w:r>
      <w:proofErr w:type="spellEnd"/>
      <w:r>
        <w:rPr>
          <w:i/>
          <w:iCs/>
          <w:color w:val="666666"/>
          <w:sz w:val="18"/>
          <w:szCs w:val="18"/>
        </w:rPr>
        <w:t>) — dashboard original em Power BI.</w:t>
      </w:r>
    </w:p>
    <w:p w14:paraId="77EB63D6" w14:textId="77777777" w:rsidR="006C7E23" w:rsidRDefault="00000000">
      <w:r>
        <w:br w:type="page"/>
      </w:r>
    </w:p>
    <w:p w14:paraId="1C620F8A" w14:textId="77777777" w:rsidR="006C7E23" w:rsidRDefault="00000000">
      <w:pPr>
        <w:pStyle w:val="Ttulo1"/>
        <w:spacing w:before="420"/>
      </w:pPr>
      <w:r>
        <w:lastRenderedPageBreak/>
        <w:t>5. Diagnóstico de Causas-Raiz (Gargalos)</w:t>
      </w:r>
    </w:p>
    <w:p w14:paraId="78FAF247" w14:textId="77777777" w:rsidR="006C7E23" w:rsidRDefault="00000000">
      <w:pPr>
        <w:spacing w:after="200" w:line="300" w:lineRule="auto"/>
        <w:jc w:val="both"/>
      </w:pPr>
      <w:r>
        <w:t>A análise cruzada dos dados revela três falhas independentes e concorrentes, que se sobrepõem e se mascaram mutuamente no indicador agregado de atraso. Elas são detalhadas a seguir na ordem de impacto financeiro estimado.</w:t>
      </w:r>
    </w:p>
    <w:p w14:paraId="4E2D8321" w14:textId="77777777" w:rsidR="006C7E23" w:rsidRDefault="00000000">
      <w:pPr>
        <w:pStyle w:val="Ttulo2"/>
        <w:spacing w:before="320" w:after="160"/>
      </w:pPr>
      <w:r>
        <w:t xml:space="preserve">5.A. Falha Crítica no Armazém — </w:t>
      </w:r>
      <w:proofErr w:type="spellStart"/>
      <w:r>
        <w:t>Picking</w:t>
      </w:r>
      <w:proofErr w:type="spellEnd"/>
      <w:r>
        <w:t xml:space="preserve"> e </w:t>
      </w:r>
      <w:proofErr w:type="spellStart"/>
      <w:r>
        <w:t>Packing</w:t>
      </w:r>
      <w:proofErr w:type="spellEnd"/>
    </w:p>
    <w:p w14:paraId="430C7436" w14:textId="77777777" w:rsidR="006C7E23" w:rsidRDefault="00000000">
      <w:pPr>
        <w:spacing w:after="200" w:line="300" w:lineRule="auto"/>
        <w:jc w:val="both"/>
      </w:pPr>
      <w:r>
        <w:t xml:space="preserve">O maior vilão da operação não está na rua, está no galpão. Entre os pedidos com devolução, </w:t>
      </w:r>
      <w:r>
        <w:rPr>
          <w:b/>
          <w:bCs/>
          <w:color w:val="FF6B5B"/>
        </w:rPr>
        <w:t>"Produto Errado" responde por 48,65% dos itens devolvidos</w:t>
      </w:r>
      <w:r>
        <w:t xml:space="preserve"> (1.562 pedidos, 36,48% do total de pedidos) e </w:t>
      </w:r>
      <w:r>
        <w:rPr>
          <w:b/>
          <w:bCs/>
          <w:color w:val="FF6B5B"/>
        </w:rPr>
        <w:t>"Danificado" por 43,93%</w:t>
      </w:r>
      <w:r>
        <w:t xml:space="preserve"> (1.339 pedidos, 31,27% do total). Juntos, esses dois motivos somam </w:t>
      </w:r>
      <w:r>
        <w:rPr>
          <w:b/>
          <w:bCs/>
        </w:rPr>
        <w:t>92,58% de todas as devoluções</w:t>
      </w:r>
      <w:r>
        <w:t xml:space="preserve"> registradas, apontando de forma inequívoca para uma falha de processo na etapa de separação (</w:t>
      </w:r>
      <w:proofErr w:type="spellStart"/>
      <w:r>
        <w:t>picking</w:t>
      </w:r>
      <w:proofErr w:type="spellEnd"/>
      <w:r>
        <w:t>, conferência por item incorreto) e na etapa de embalagem/carregamento (</w:t>
      </w:r>
      <w:proofErr w:type="spellStart"/>
      <w:r>
        <w:t>packing</w:t>
      </w:r>
      <w:proofErr w:type="spellEnd"/>
      <w:r>
        <w:t>, avaria por acondicionamento inadequado).</w:t>
      </w:r>
    </w:p>
    <w:p w14:paraId="4FD312AF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7B206A8" wp14:editId="33B65B62">
            <wp:extent cx="5124450" cy="2867025"/>
            <wp:effectExtent l="0" t="0" r="0" b="0"/>
            <wp:docPr id="186882459" name="Imagem 18688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9FF5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Motivos de devolução — dashboard original em Power BI.</w:t>
      </w:r>
    </w:p>
    <w:p w14:paraId="348578C9" w14:textId="77777777" w:rsidR="006C7E23" w:rsidRDefault="00000000">
      <w:pPr>
        <w:spacing w:after="200" w:line="300" w:lineRule="auto"/>
        <w:jc w:val="both"/>
      </w:pPr>
      <w:r>
        <w:t xml:space="preserve">Um achado adicional, não explorado no relatório original, ajuda a dimensionar a urgência deste gargalo: </w:t>
      </w:r>
      <w:r>
        <w:rPr>
          <w:b/>
          <w:bCs/>
        </w:rPr>
        <w:t>75,25% de todos os pedidos</w:t>
      </w:r>
      <w:r>
        <w:t xml:space="preserve"> (3.222 de 4.282) contêm pelo menos um item devolvido — mas esses itens representam apenas </w:t>
      </w:r>
      <w:r>
        <w:rPr>
          <w:b/>
          <w:bCs/>
        </w:rPr>
        <w:t>17,74% do volume total de itens</w:t>
      </w:r>
      <w:r>
        <w:t xml:space="preserve"> movimentado (7.972 de 44.931). Em outras palavras: o erro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 xml:space="preserve"> não está concentrado em poucos pedidos "problemáticos" — ele </w:t>
      </w:r>
      <w:r>
        <w:rPr>
          <w:b/>
          <w:bCs/>
        </w:rPr>
        <w:t>toca três em cada quatro pedidos</w:t>
      </w:r>
      <w:r>
        <w:t>, ainda que em pequena quantidade por pedido. Esse padrão é característico de uma falha de processo (ausência de conferência sistemática, como bipagem por código de barras) mais do que de um problema de lote ou fornecedor específico, e reforça o diagnóstico do relatório original de que a causa provável é a separação manual sem conferência eletrônica.</w:t>
      </w:r>
    </w:p>
    <w:p w14:paraId="7F777761" w14:textId="77777777" w:rsidR="006C7E2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5DC9E35" wp14:editId="2BAE4EC4">
            <wp:extent cx="5305425" cy="2762250"/>
            <wp:effectExtent l="0" t="0" r="0" b="0"/>
            <wp:docPr id="560798430" name="Imagem 56079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C591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elaborado nesta análise: proporção de pedidos tocados por devolução vs. proporção de itens efetivamente devolvidos.</w:t>
      </w:r>
    </w:p>
    <w:p w14:paraId="1B4712EF" w14:textId="77777777" w:rsidR="006C7E23" w:rsidRDefault="00000000">
      <w:pPr>
        <w:pStyle w:val="Ttulo2"/>
        <w:spacing w:before="320" w:after="160"/>
      </w:pPr>
      <w:r>
        <w:t>5.B. Ineficiência de Alocação de Frota</w:t>
      </w:r>
    </w:p>
    <w:p w14:paraId="10AE2AB3" w14:textId="77777777" w:rsidR="006C7E23" w:rsidRDefault="00000000">
      <w:pPr>
        <w:spacing w:after="200" w:line="300" w:lineRule="auto"/>
        <w:jc w:val="both"/>
      </w:pPr>
      <w:r>
        <w:t xml:space="preserve">Cruzando motoristas com destinos sob o SLA original, a matriz de atraso mostra dispersão relevante de performance individual: </w:t>
      </w:r>
      <w:r>
        <w:rPr>
          <w:b/>
          <w:bCs/>
          <w:color w:val="FF6B5B"/>
        </w:rPr>
        <w:t>Luiz Pardal, na rota do Rio de Janeiro, atinge 81,93% de atraso</w:t>
      </w:r>
      <w:r>
        <w:t xml:space="preserve"> — o pior par motorista/destino da empresa —, enquanto </w:t>
      </w:r>
      <w:r>
        <w:rPr>
          <w:b/>
          <w:bCs/>
          <w:color w:val="4A2A75"/>
        </w:rPr>
        <w:t>Marcos Leroy, na mesma rota, entrega com 68,64%</w:t>
      </w:r>
      <w:r>
        <w:t xml:space="preserve"> de atraso, uma diferença de 13,3 pontos percentuais na mesma rota, sob as mesmas condições de trânsito e distância. Esse gap não pode ser explicado pela rota em si; ele é evidência de variação de performance individual (rotina, gestão do tempo, familiaridade com o trajeto) que a empresa hoje não está gerenciando ativamente.</w:t>
      </w:r>
    </w:p>
    <w:p w14:paraId="04A8E0A2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9108440" wp14:editId="69AE7D4A">
            <wp:extent cx="5124450" cy="2867025"/>
            <wp:effectExtent l="0" t="0" r="0" b="0"/>
            <wp:docPr id="919528067" name="Imagem 91952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64E4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Nível de atraso por motorista e destino (SLA original de 10 dias) — dashboard original em Power BI.</w:t>
      </w:r>
    </w:p>
    <w:p w14:paraId="6C3167F3" w14:textId="77777777" w:rsidR="006C7E23" w:rsidRDefault="00000000">
      <w:pPr>
        <w:spacing w:after="200" w:line="300" w:lineRule="auto"/>
        <w:jc w:val="both"/>
      </w:pPr>
      <w:r>
        <w:t xml:space="preserve">Vale destacar que a variação de volume entre motoristas é pequena (664 a 753 pedidos cada, uma diferença de apenas 13%), o que descarta sobrecarga desigual como explicação — o problema é de </w:t>
      </w:r>
      <w:r>
        <w:rPr>
          <w:b/>
          <w:bCs/>
        </w:rPr>
        <w:t>alocação por afinidade de rota</w:t>
      </w:r>
      <w:r>
        <w:t>, não de volume.</w:t>
      </w:r>
    </w:p>
    <w:p w14:paraId="3E6DCF69" w14:textId="77777777" w:rsidR="006C7E23" w:rsidRDefault="00000000">
      <w:pPr>
        <w:pStyle w:val="Ttulo2"/>
        <w:spacing w:before="320" w:after="160"/>
      </w:pPr>
      <w:r>
        <w:t>5.C. SLA Comercial Irreal e Sufocante</w:t>
      </w:r>
    </w:p>
    <w:p w14:paraId="15BACBFC" w14:textId="77777777" w:rsidR="006C7E23" w:rsidRDefault="00000000">
      <w:pPr>
        <w:spacing w:after="200" w:line="300" w:lineRule="auto"/>
        <w:jc w:val="both"/>
      </w:pPr>
      <w:r>
        <w:lastRenderedPageBreak/>
        <w:t xml:space="preserve">O terceiro gargalo, e o mais estrutural dos três, é a própria meta comercial. Sob o prazo de 10 dias, </w:t>
      </w:r>
      <w:r>
        <w:rPr>
          <w:b/>
          <w:bCs/>
        </w:rPr>
        <w:t>nenhum motorista, em nenhum destino, consegue atingir a meta de forma satisfatória</w:t>
      </w:r>
      <w:r>
        <w:t xml:space="preserve"> — o melhor cenário isolado da empresa (Felipe Silva, em São Paulo) ainda assim registra 68,56% de atraso. Como demonstrado na Seção 4.2, o ciclo mediano real do pedido (OCT P50) já é de 13 dias — 3 dias acima da promessa comercial. Isso indica que o SLA de 10 dias nunca foi calibrado com base na capacidade real da operação, e sim definido de forma comercial/arbitrária, criando atrito estrutural permanente entre o time comercial (que vendeu um prazo) e o time de transporte (que não tem como cumpri-lo fisicamente).</w:t>
      </w:r>
    </w:p>
    <w:p w14:paraId="3A30380C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6096B41" wp14:editId="1264819F">
            <wp:extent cx="5486400" cy="2362200"/>
            <wp:effectExtent l="0" t="0" r="0" b="0"/>
            <wp:docPr id="932379294" name="Imagem 93237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F25C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Volume de pedidos e pedidos entregues no prazo, por motorista (SLA original) — dashboard original em Power BI.</w:t>
      </w:r>
    </w:p>
    <w:p w14:paraId="2B7890A2" w14:textId="77777777" w:rsidR="006C7E23" w:rsidRDefault="00000000">
      <w:r>
        <w:br w:type="page"/>
      </w:r>
    </w:p>
    <w:p w14:paraId="4B516F31" w14:textId="77777777" w:rsidR="006C7E23" w:rsidRDefault="00000000">
      <w:pPr>
        <w:pStyle w:val="Ttulo1"/>
        <w:spacing w:before="420"/>
      </w:pPr>
      <w:r>
        <w:lastRenderedPageBreak/>
        <w:t>6. Impacto Financeiro das Devoluções (OTIF Financeiro)</w:t>
      </w:r>
    </w:p>
    <w:p w14:paraId="0E238A90" w14:textId="77777777" w:rsidR="006C7E23" w:rsidRDefault="00000000">
      <w:pPr>
        <w:spacing w:after="200" w:line="300" w:lineRule="auto"/>
        <w:jc w:val="both"/>
      </w:pPr>
      <w:r>
        <w:t xml:space="preserve">O relatório original identificou corretamente uma lacuna importante na base bruta: não havia, nos dados de origem, o custo unitário de cada devolução nem a informação de destinação do item (perda total ou retorno ao estoque). Para contornar essa limitação, a medida </w:t>
      </w:r>
      <w:r>
        <w:rPr>
          <w:b/>
          <w:bCs/>
        </w:rPr>
        <w:t>OTIF Financeiro</w:t>
      </w:r>
      <w:r>
        <w:t xml:space="preserve"> foi construída adotando o critério conservador de que </w:t>
      </w:r>
      <w:r>
        <w:rPr>
          <w:b/>
          <w:bCs/>
        </w:rPr>
        <w:t>todo pedido com devolução representa prejuízo financeiro</w:t>
      </w:r>
      <w:r>
        <w:t>, segmentando a base em três grupos: satisfeito sem prejuízo, insatisfeito sem prejuízo (atraso, mas sem devolução) e insatisfeito com prejuízo financeiro (com devolução).</w:t>
      </w:r>
    </w:p>
    <w:p w14:paraId="04876F0A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4CD5E8B" wp14:editId="45B0D3A9">
            <wp:extent cx="5305425" cy="2971800"/>
            <wp:effectExtent l="0" t="0" r="0" b="0"/>
            <wp:docPr id="657434140" name="Imagem 65743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7300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OTIF Financeiro — dashboard original em Power BI.</w:t>
      </w:r>
    </w:p>
    <w:p w14:paraId="6437B2D2" w14:textId="77777777" w:rsidR="006C7E23" w:rsidRDefault="00000000">
      <w:pPr>
        <w:spacing w:after="200" w:line="300" w:lineRule="auto"/>
        <w:jc w:val="both"/>
      </w:pPr>
      <w:r>
        <w:t xml:space="preserve">Sob esse critério, </w:t>
      </w:r>
      <w:r>
        <w:rPr>
          <w:b/>
          <w:bCs/>
          <w:color w:val="FF6B5B"/>
        </w:rPr>
        <w:t>3.222 pedidos (75,25% da base) são classificados como "Insatisfeito com prejuízo financeiro"</w:t>
      </w:r>
      <w:r>
        <w:t>, 765 pedidos (17,87%) como "Insatisfeito sem prejuízo financeiro" (atrasados, mas sem devolução) e apenas 295 (6,89%) como plenamente satisfeitos.</w:t>
      </w:r>
    </w:p>
    <w:p w14:paraId="47D40ABD" w14:textId="77777777" w:rsidR="006C7E23" w:rsidRDefault="00000000">
      <w:pPr>
        <w:pStyle w:val="Ttulo2"/>
        <w:spacing w:before="320" w:after="160"/>
      </w:pPr>
      <w:r>
        <w:t>6.1. Estimativa de valor imobilizado (leitura complementar desta análise)</w:t>
      </w:r>
    </w:p>
    <w:p w14:paraId="2CACD671" w14:textId="77777777" w:rsidR="006C7E23" w:rsidRDefault="00000000">
      <w:pPr>
        <w:spacing w:after="200" w:line="300" w:lineRule="auto"/>
        <w:jc w:val="both"/>
      </w:pPr>
      <w:r>
        <w:t xml:space="preserve">Para dar uma ordem de grandeza monetária a esse indicador — informação que a base bruta não fornece diretamente —, esta análise estimou o valor de cada item devolvido pelo </w:t>
      </w:r>
      <w:r>
        <w:rPr>
          <w:b/>
          <w:bCs/>
        </w:rPr>
        <w:t>valor médio do item dentro do próprio pedido</w:t>
      </w:r>
      <w:r>
        <w:t xml:space="preserve"> (R$ Faturados ÷ Itens do pedido), multiplicado pela quantidade devolvida. Essa é uma aproximação (assume itens de valor homogêneo dentro do pedido) e deve ser tratada como estimativa diretiva, não como valor contábil de baixa de estoque — mas ela é suficiente para priorizar a ação gerencial.</w:t>
      </w:r>
    </w:p>
    <w:p w14:paraId="7DAB8876" w14:textId="77777777" w:rsidR="006C7E23" w:rsidRDefault="00000000">
      <w:pPr>
        <w:spacing w:after="200" w:line="300" w:lineRule="auto"/>
        <w:jc w:val="both"/>
      </w:pPr>
      <w:r>
        <w:t xml:space="preserve">O resultado aponta </w:t>
      </w:r>
      <w:r>
        <w:rPr>
          <w:b/>
          <w:bCs/>
        </w:rPr>
        <w:t>R$ 259.483,90 em valor de itens devolvidos — equivalente a 17,87% de todo o faturamento da série histórica</w:t>
      </w:r>
      <w:r>
        <w:t>. Decompondo por motivo, "Produto Errado" concentra R$ 128.498,30 (49,5% do valor devolvido) e "Danificado" R$ 112.067,50 (43,2%), no mesmo padrão de dominância já visto na contagem de itens — reforçando que resolver essas duas causas no armazém endereça praticamente 93% de todo o valor em risco.</w:t>
      </w:r>
    </w:p>
    <w:p w14:paraId="389F07C9" w14:textId="77777777" w:rsidR="006C7E2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BB4DA14" wp14:editId="541F0961">
            <wp:extent cx="5486400" cy="2743200"/>
            <wp:effectExtent l="0" t="0" r="0" b="0"/>
            <wp:docPr id="1882700352" name="Imagem 188270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79AB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elaborado nesta análise: valor estimado imobilizado em devoluções, por motivo (valor médio do item × quantidade devolvida).</w:t>
      </w:r>
    </w:p>
    <w:p w14:paraId="6F1A722E" w14:textId="77777777" w:rsidR="006C7E23" w:rsidRDefault="00000000">
      <w:pPr>
        <w:spacing w:after="200" w:line="300" w:lineRule="auto"/>
        <w:jc w:val="both"/>
      </w:pPr>
      <w:r>
        <w:t xml:space="preserve">É importante frisar a diferença entre as duas leituras: os </w:t>
      </w:r>
      <w:r>
        <w:rPr>
          <w:b/>
          <w:bCs/>
        </w:rPr>
        <w:t>R$ 259,5 mil</w:t>
      </w:r>
      <w:r>
        <w:t xml:space="preserve"> medem o </w:t>
      </w:r>
      <w:r>
        <w:rPr>
          <w:b/>
          <w:bCs/>
        </w:rPr>
        <w:t>valor do produto fisicamente devolvido</w:t>
      </w:r>
      <w:r>
        <w:t xml:space="preserve"> (item errado ou danificado que retorna ou é perdido); já os </w:t>
      </w:r>
      <w:r>
        <w:rPr>
          <w:b/>
          <w:bCs/>
        </w:rPr>
        <w:t>93,02% de faturamento "Insatisfeito"</w:t>
      </w:r>
      <w:r>
        <w:t xml:space="preserve"> (Seção 4.1) medem a </w:t>
      </w:r>
      <w:r>
        <w:rPr>
          <w:b/>
          <w:bCs/>
        </w:rPr>
        <w:t>receita associada a pedidos fora do padrão de excelência</w:t>
      </w:r>
      <w:r>
        <w:t xml:space="preserve"> (atraso e/ou devolução combinados) — um indicador de risco de relacionamento comercial, não de perda direta de caixa. As duas métricas são complementares: a primeira orienta o investimento em correção de processo; a segunda, a urgência de comunicação com os clientes de alto impacto identificados na Seção 3.3.</w:t>
      </w:r>
    </w:p>
    <w:p w14:paraId="649B3F7A" w14:textId="77777777" w:rsidR="006C7E23" w:rsidRDefault="00000000">
      <w:r>
        <w:br w:type="page"/>
      </w:r>
    </w:p>
    <w:p w14:paraId="32DF1366" w14:textId="77777777" w:rsidR="006C7E23" w:rsidRDefault="00000000">
      <w:pPr>
        <w:pStyle w:val="Ttulo1"/>
        <w:spacing w:before="420"/>
      </w:pPr>
      <w:r>
        <w:lastRenderedPageBreak/>
        <w:t>7. Solução Proposta: Calibração do SLA (10 → 15 dias)</w:t>
      </w:r>
    </w:p>
    <w:p w14:paraId="32F7EEFF" w14:textId="77777777" w:rsidR="006C7E23" w:rsidRDefault="00000000">
      <w:pPr>
        <w:spacing w:after="200" w:line="300" w:lineRule="auto"/>
        <w:jc w:val="both"/>
      </w:pPr>
      <w:r>
        <w:t xml:space="preserve">A primeira ação recomendada — e a de implementação mais rápida, pois não exige investimento em tecnologia ou retreinamento — é a </w:t>
      </w:r>
      <w:r>
        <w:rPr>
          <w:b/>
          <w:bCs/>
        </w:rPr>
        <w:t>calibração do prazo comercial de 10 para 15 dias fixos</w:t>
      </w:r>
      <w:r>
        <w:t>, valor definido com base no P95 do ciclo total (OCT) observado na operação real (19 dias seria o P95 puro; 15 dias foi adotado no case como meta intermediária realista, acima da mediana de 13 dias e abaixo do pior caso, equilibrando competitividade comercial com viabilidade operacional).</w:t>
      </w:r>
    </w:p>
    <w:p w14:paraId="6C98764A" w14:textId="77777777" w:rsidR="006C7E23" w:rsidRDefault="00000000">
      <w:pPr>
        <w:pStyle w:val="Ttulo2"/>
        <w:spacing w:before="320" w:after="160"/>
      </w:pPr>
      <w:r>
        <w:t>7.1. Resultados Simulados</w:t>
      </w:r>
    </w:p>
    <w:p w14:paraId="2FFEE3EE" w14:textId="77777777" w:rsidR="006C7E23" w:rsidRDefault="00000000">
      <w:pPr>
        <w:spacing w:after="200" w:line="300" w:lineRule="auto"/>
        <w:jc w:val="both"/>
      </w:pPr>
      <w:r>
        <w:t>A simulação, aplicada sobre a mesma base de pedidos (nenhuma mudança operacional, apenas o novo critério de prazo), produz uma reversão completa do quadro de atraso:</w:t>
      </w:r>
    </w:p>
    <w:p w14:paraId="607ADC6E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5B7BF74" wp14:editId="3538B097">
            <wp:extent cx="5486400" cy="3000375"/>
            <wp:effectExtent l="0" t="0" r="0" b="0"/>
            <wp:docPr id="161564824" name="Imagem 16156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3FED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elaborado nesta análise a partir da coluna "OTD Novo" do extrato de Power BI.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100"/>
        <w:gridCol w:w="2200"/>
        <w:gridCol w:w="1750"/>
      </w:tblGrid>
      <w:tr w:rsidR="006C7E23" w14:paraId="599FE347" w14:textId="77777777">
        <w:trPr>
          <w:tblHeader/>
        </w:trPr>
        <w:tc>
          <w:tcPr>
            <w:tcW w:w="33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C4A60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1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E3891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SLA Original (10d)</w:t>
            </w:r>
          </w:p>
        </w:tc>
        <w:tc>
          <w:tcPr>
            <w:tcW w:w="22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CD788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SLA Calibrado (15d)</w:t>
            </w:r>
          </w:p>
        </w:tc>
        <w:tc>
          <w:tcPr>
            <w:tcW w:w="17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579D6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Variação</w:t>
            </w:r>
          </w:p>
        </w:tc>
      </w:tr>
      <w:tr w:rsidR="006C7E23" w14:paraId="67F3B393" w14:textId="77777777"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F012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Taxa de atraso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BC6E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73,21%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B4DD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29,12%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4E4A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-44,09 </w:t>
            </w:r>
            <w:proofErr w:type="spellStart"/>
            <w:r>
              <w:rPr>
                <w:color w:val="3A3A3A"/>
                <w:sz w:val="19"/>
                <w:szCs w:val="19"/>
              </w:rPr>
              <w:t>p.p</w:t>
            </w:r>
            <w:proofErr w:type="spellEnd"/>
            <w:r>
              <w:rPr>
                <w:color w:val="3A3A3A"/>
                <w:sz w:val="19"/>
                <w:szCs w:val="19"/>
              </w:rPr>
              <w:t>.</w:t>
            </w:r>
          </w:p>
        </w:tc>
      </w:tr>
      <w:tr w:rsidR="006C7E23" w14:paraId="40145B2C" w14:textId="77777777">
        <w:tc>
          <w:tcPr>
            <w:tcW w:w="33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D0C5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Pedidos no prazo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FE5D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1.147</w:t>
            </w:r>
          </w:p>
        </w:tc>
        <w:tc>
          <w:tcPr>
            <w:tcW w:w="22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20AD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3.035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7368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+1.888 pedidos</w:t>
            </w:r>
          </w:p>
        </w:tc>
      </w:tr>
      <w:tr w:rsidR="006C7E23" w14:paraId="4FC1882C" w14:textId="77777777"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A774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OTIF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FE0C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6,89%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DF16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3CDF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</w:tr>
      <w:tr w:rsidR="006C7E23" w14:paraId="451D847B" w14:textId="77777777">
        <w:tc>
          <w:tcPr>
            <w:tcW w:w="33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1DB1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OTIF Novo (Afirmativo)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F3A2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  <w:tc>
          <w:tcPr>
            <w:tcW w:w="22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5DAF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17,89%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EA49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+11,00 </w:t>
            </w:r>
            <w:proofErr w:type="spellStart"/>
            <w:r>
              <w:rPr>
                <w:color w:val="3A3A3A"/>
                <w:sz w:val="19"/>
                <w:szCs w:val="19"/>
              </w:rPr>
              <w:t>p.p</w:t>
            </w:r>
            <w:proofErr w:type="spellEnd"/>
            <w:r>
              <w:rPr>
                <w:color w:val="3A3A3A"/>
                <w:sz w:val="19"/>
                <w:szCs w:val="19"/>
              </w:rPr>
              <w:t>.</w:t>
            </w:r>
          </w:p>
        </w:tc>
      </w:tr>
      <w:tr w:rsidR="006C7E23" w14:paraId="72FC20B7" w14:textId="77777777"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0490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Faturamento "Afirmativo"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EBCC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C13D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17,85%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16C1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—</w:t>
            </w:r>
          </w:p>
        </w:tc>
      </w:tr>
    </w:tbl>
    <w:p w14:paraId="4D800A6F" w14:textId="77777777" w:rsidR="006C7E23" w:rsidRDefault="006C7E23">
      <w:pPr>
        <w:spacing w:after="160"/>
      </w:pPr>
    </w:p>
    <w:p w14:paraId="441D2B33" w14:textId="77777777" w:rsidR="006C7E2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ADB5676" wp14:editId="2B90E341">
            <wp:extent cx="5305425" cy="2905125"/>
            <wp:effectExtent l="0" t="0" r="0" b="0"/>
            <wp:docPr id="308926377" name="Imagem 308926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2C6E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OTIF Novo x Faturamento — dashboard original em Power BI.</w:t>
      </w:r>
    </w:p>
    <w:p w14:paraId="172836D4" w14:textId="77777777" w:rsidR="006C7E23" w:rsidRDefault="00000000">
      <w:pPr>
        <w:spacing w:after="200" w:line="300" w:lineRule="auto"/>
        <w:jc w:val="both"/>
      </w:pPr>
      <w:r>
        <w:t xml:space="preserve">O ganho mais importante desta calibração não é apenas estatístico — é </w:t>
      </w:r>
      <w:r>
        <w:rPr>
          <w:b/>
          <w:bCs/>
        </w:rPr>
        <w:t>gerencial</w:t>
      </w:r>
      <w:r>
        <w:t xml:space="preserve">. Ao eliminar o ruído de um SLA inatingível, a gestão passa a enxergar os problemas reais que estavam mascarados: a rota do Rio de Janeiro, que aparentava ser "só mais uma rota ruim" dentro de um cenário geral de 73% de atraso, agora se destaca claramente como a </w:t>
      </w:r>
      <w:r>
        <w:rPr>
          <w:b/>
          <w:bCs/>
          <w:color w:val="FF6B5B"/>
        </w:rPr>
        <w:t>pior rota da empresa também no novo cenário (29,69% de atraso, acima da média geral de 29,12%)</w:t>
      </w:r>
      <w:r>
        <w:t>, permitindo ação cirúrgica de infraestrutura ou renegociação de frete especificamente para esse destino.</w:t>
      </w:r>
    </w:p>
    <w:p w14:paraId="7CCC25B3" w14:textId="77777777" w:rsidR="006C7E23" w:rsidRDefault="00000000">
      <w:pPr>
        <w:pStyle w:val="Ttulo2"/>
        <w:spacing w:before="320" w:after="160"/>
      </w:pPr>
      <w:r>
        <w:t>7.2. Remanejamento de Rotas por Performance Individual</w:t>
      </w:r>
    </w:p>
    <w:p w14:paraId="3ECF3731" w14:textId="77777777" w:rsidR="006C7E23" w:rsidRDefault="00000000">
      <w:pPr>
        <w:spacing w:after="200" w:line="300" w:lineRule="auto"/>
        <w:jc w:val="both"/>
      </w:pPr>
      <w:r>
        <w:t>Com o novo SLA aplicado, a matriz de atraso por motorista e destino revela oportunidades pontuais de remanejamento que capturam ganho adicional sem qualquer custo:</w:t>
      </w:r>
    </w:p>
    <w:p w14:paraId="2E8533AF" w14:textId="77777777" w:rsidR="006C7E2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06B0E26" wp14:editId="560ACA54">
            <wp:extent cx="5667375" cy="2676525"/>
            <wp:effectExtent l="0" t="0" r="0" b="0"/>
            <wp:docPr id="1715369924" name="Imagem 171536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518" w14:textId="77777777" w:rsidR="006C7E23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Gráfico elaborado nesta análise: comparação lado a lado do atraso por motorista/destino, antes e depois da calibração de SLA.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50"/>
        <w:gridCol w:w="1900"/>
        <w:gridCol w:w="1900"/>
        <w:gridCol w:w="1500"/>
      </w:tblGrid>
      <w:tr w:rsidR="006C7E23" w14:paraId="57AB5B85" w14:textId="77777777">
        <w:trPr>
          <w:tblHeader/>
        </w:trPr>
        <w:tc>
          <w:tcPr>
            <w:tcW w:w="23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8F5D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Motorista</w:t>
            </w:r>
          </w:p>
        </w:tc>
        <w:tc>
          <w:tcPr>
            <w:tcW w:w="17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8ADDC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Pedidos</w:t>
            </w:r>
          </w:p>
        </w:tc>
        <w:tc>
          <w:tcPr>
            <w:tcW w:w="19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2D146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Prazo (Original)</w:t>
            </w:r>
          </w:p>
        </w:tc>
        <w:tc>
          <w:tcPr>
            <w:tcW w:w="19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34A1D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Prazo (Novo SLA)</w:t>
            </w:r>
          </w:p>
        </w:tc>
        <w:tc>
          <w:tcPr>
            <w:tcW w:w="15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F12A6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Atraso (Novo SLA)</w:t>
            </w:r>
          </w:p>
        </w:tc>
      </w:tr>
      <w:tr w:rsidR="006C7E23" w14:paraId="0FD432F6" w14:textId="77777777"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2E8D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Luiz Pardal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B4CA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750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9A17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180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49F3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531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D997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29,20%</w:t>
            </w:r>
          </w:p>
        </w:tc>
      </w:tr>
      <w:tr w:rsidR="006C7E23" w14:paraId="3DDB5B02" w14:textId="77777777">
        <w:tc>
          <w:tcPr>
            <w:tcW w:w="23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3AF9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lastRenderedPageBreak/>
              <w:t>Marcos Leroy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4958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753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9ACD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186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9A368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521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E8FB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30,81%</w:t>
            </w:r>
          </w:p>
        </w:tc>
      </w:tr>
      <w:tr w:rsidR="006C7E23" w14:paraId="4702370E" w14:textId="77777777"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F302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Valdir Espinosa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7D6A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732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2E09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198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F00D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524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FCE8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28,42%</w:t>
            </w:r>
          </w:p>
        </w:tc>
      </w:tr>
      <w:tr w:rsidR="006C7E23" w14:paraId="36D4259F" w14:textId="77777777">
        <w:tc>
          <w:tcPr>
            <w:tcW w:w="23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6E828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João Gomes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518B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685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27B6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191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3E99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495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620C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27,74%</w:t>
            </w:r>
          </w:p>
        </w:tc>
      </w:tr>
      <w:tr w:rsidR="006C7E23" w14:paraId="0A6D280D" w14:textId="77777777"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4088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Túlio Silveira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6D1C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698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A400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197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7B8C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493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912A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29,37%</w:t>
            </w:r>
          </w:p>
        </w:tc>
      </w:tr>
      <w:tr w:rsidR="006C7E23" w14:paraId="0FB04604" w14:textId="77777777">
        <w:tc>
          <w:tcPr>
            <w:tcW w:w="23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6219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Felipe Silva</w:t>
            </w:r>
          </w:p>
        </w:tc>
        <w:tc>
          <w:tcPr>
            <w:tcW w:w="17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441E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664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FC48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195</w:t>
            </w:r>
          </w:p>
        </w:tc>
        <w:tc>
          <w:tcPr>
            <w:tcW w:w="19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8588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471</w:t>
            </w:r>
          </w:p>
        </w:tc>
        <w:tc>
          <w:tcPr>
            <w:tcW w:w="15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9355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29,07%</w:t>
            </w:r>
          </w:p>
        </w:tc>
      </w:tr>
    </w:tbl>
    <w:p w14:paraId="787AC138" w14:textId="77777777" w:rsidR="006C7E23" w:rsidRDefault="006C7E23">
      <w:pPr>
        <w:spacing w:after="160"/>
      </w:pPr>
    </w:p>
    <w:p w14:paraId="18538346" w14:textId="687662B5" w:rsidR="006C7E23" w:rsidRDefault="00000000">
      <w:pPr>
        <w:spacing w:after="200" w:line="300" w:lineRule="auto"/>
        <w:jc w:val="both"/>
      </w:pPr>
      <w:r>
        <w:t xml:space="preserve">Destaca-se o salto de Luiz Pardal, que passa de apenas 180 para 531 entregas no prazo — o maior ganho absoluto da frota — mas que, mesmo assim, permanece com a </w:t>
      </w:r>
      <w:r>
        <w:rPr>
          <w:b/>
          <w:bCs/>
        </w:rPr>
        <w:t>pior performance específica na rota do Rio de Janeiro (33,19% de atraso)</w:t>
      </w:r>
      <w:r>
        <w:t xml:space="preserve">, enquanto Marcos Leroy mantém sua vantagem relativa na mesma rota (28,81%). Já na rota de São Paulo, o padrão se inverte: Luiz Pardal é o melhor (23,23%) e Marcos Leroy o pior (33,74%). Isso sustenta a recomendação </w:t>
      </w:r>
      <w:r w:rsidR="00AE2CFE">
        <w:t>já</w:t>
      </w:r>
      <w:r>
        <w:t xml:space="preserve"> presente no case original: </w:t>
      </w:r>
      <w:r>
        <w:rPr>
          <w:b/>
          <w:bCs/>
        </w:rPr>
        <w:t>trocar a rota do Rio de Janeiro de Luiz Pardal para Marcos Leroy, e a rota de São Paulo de Marcos Leroy para Luiz Pardal</w:t>
      </w:r>
      <w:r>
        <w:t xml:space="preserve"> — um remanejamento de zero custo, orientado por dado histórico de performance individual, com potencial de reduzir ainda mais a taxa de atraso agregada sem qualquer novo investimento. Recomenda-se tratar essa troca como piloto de 60 a 90 dias, com nova leitura do indicador antes de torná-la definitiva.</w:t>
      </w:r>
    </w:p>
    <w:p w14:paraId="56DFC6B5" w14:textId="77777777" w:rsidR="006C7E23" w:rsidRDefault="00000000">
      <w:r>
        <w:br w:type="page"/>
      </w:r>
    </w:p>
    <w:p w14:paraId="61D6E305" w14:textId="77777777" w:rsidR="006C7E23" w:rsidRDefault="00000000">
      <w:pPr>
        <w:pStyle w:val="Ttulo1"/>
        <w:spacing w:before="420"/>
      </w:pPr>
      <w:r>
        <w:lastRenderedPageBreak/>
        <w:t xml:space="preserve">8. Plano de Reestruturação de </w:t>
      </w:r>
      <w:proofErr w:type="spellStart"/>
      <w:r>
        <w:t>Picking</w:t>
      </w:r>
      <w:proofErr w:type="spellEnd"/>
      <w:r>
        <w:t xml:space="preserve"> e </w:t>
      </w:r>
      <w:proofErr w:type="spellStart"/>
      <w:r>
        <w:t>Packing</w:t>
      </w:r>
      <w:proofErr w:type="spellEnd"/>
      <w:r>
        <w:t xml:space="preserve"> (Metodologia DMAIC)</w:t>
      </w:r>
    </w:p>
    <w:p w14:paraId="0BD02BC8" w14:textId="77777777" w:rsidR="006C7E23" w:rsidRDefault="00000000">
      <w:pPr>
        <w:spacing w:after="200" w:line="300" w:lineRule="auto"/>
        <w:jc w:val="both"/>
      </w:pPr>
      <w:r>
        <w:t xml:space="preserve">A calibração de SLA (Seção 7) resolve o sintoma comercial, mas não a causa raiz identificada na Seção 5.A: falhas de conferência no </w:t>
      </w:r>
      <w:proofErr w:type="spellStart"/>
      <w:r>
        <w:t>picking</w:t>
      </w:r>
      <w:proofErr w:type="spellEnd"/>
      <w:r>
        <w:t xml:space="preserve"> e de acondicionamento no </w:t>
      </w:r>
      <w:proofErr w:type="spellStart"/>
      <w:r>
        <w:t>packing</w:t>
      </w:r>
      <w:proofErr w:type="spellEnd"/>
      <w:r>
        <w:t xml:space="preserve">, responsáveis por 92,58% das devoluções. Propõe-se um programa estruturado nos moldes </w:t>
      </w:r>
      <w:r>
        <w:rPr>
          <w:b/>
          <w:bCs/>
        </w:rPr>
        <w:t xml:space="preserve">DMAIC (Define, </w:t>
      </w:r>
      <w:proofErr w:type="spellStart"/>
      <w:r>
        <w:rPr>
          <w:b/>
          <w:bCs/>
        </w:rPr>
        <w:t>Measure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, Improve,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>)</w:t>
      </w:r>
      <w:r>
        <w:t>, com o objetivo central de reduzir o erro de separação (hoje 48,65% das devoluções) e a avaria de embalagem (43,93%), elevando o OTIF do patamar atual (já considerando o novo SLA) de 17,89% em direção à meta de mercado.</w:t>
      </w:r>
    </w:p>
    <w:p w14:paraId="4C2C5FE3" w14:textId="77777777" w:rsidR="006C7E23" w:rsidRDefault="00000000">
      <w:pPr>
        <w:pStyle w:val="Ttulo2"/>
        <w:spacing w:before="320" w:after="160"/>
      </w:pPr>
      <w:r>
        <w:t>D — Define (Definir)</w:t>
      </w:r>
    </w:p>
    <w:p w14:paraId="5D676533" w14:textId="77777777" w:rsidR="006C7E23" w:rsidRDefault="00000000">
      <w:pPr>
        <w:spacing w:after="200" w:line="300" w:lineRule="auto"/>
        <w:jc w:val="both"/>
      </w:pPr>
      <w:r>
        <w:t>Alinhamento de metas e escopo do projeto.</w:t>
      </w:r>
    </w:p>
    <w:p w14:paraId="62A23848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Ações: </w:t>
      </w:r>
      <w:r>
        <w:t xml:space="preserve">formalização do Project Charter e definição do time multifuncional (gerente de logística, conferentes, operadores de </w:t>
      </w:r>
      <w:proofErr w:type="spellStart"/>
      <w:r>
        <w:t>picking</w:t>
      </w:r>
      <w:proofErr w:type="spellEnd"/>
      <w:r>
        <w:t xml:space="preserve"> e analista de processos).</w:t>
      </w:r>
    </w:p>
    <w:p w14:paraId="04560B6F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Entregável: </w:t>
      </w:r>
      <w:r>
        <w:t>problema quantificado — processo atual gera 17,74% de devolução sobre o total de itens (75,25% dos pedidos tocados), com P95 de 19 dias de OCT total e 14 dias de LTI. Escopo limitado à preparação interna, do recebimento do pedido nas docas até a liberação para transporte.</w:t>
      </w:r>
    </w:p>
    <w:p w14:paraId="74015CAA" w14:textId="77777777" w:rsidR="006C7E23" w:rsidRDefault="00000000">
      <w:pPr>
        <w:pStyle w:val="Ttulo2"/>
        <w:spacing w:before="320" w:after="160"/>
      </w:pPr>
      <w:r>
        <w:t xml:space="preserve">M — </w:t>
      </w:r>
      <w:proofErr w:type="spellStart"/>
      <w:r>
        <w:t>Measure</w:t>
      </w:r>
      <w:proofErr w:type="spellEnd"/>
      <w:r>
        <w:t xml:space="preserve"> (Medir)</w:t>
      </w:r>
    </w:p>
    <w:p w14:paraId="734CE090" w14:textId="77777777" w:rsidR="006C7E23" w:rsidRDefault="00000000">
      <w:pPr>
        <w:spacing w:after="200" w:line="300" w:lineRule="auto"/>
        <w:jc w:val="both"/>
      </w:pPr>
      <w:r>
        <w:t>Mapeamento da realidade atual (</w:t>
      </w:r>
      <w:proofErr w:type="spellStart"/>
      <w:r>
        <w:t>As-Is</w:t>
      </w:r>
      <w:proofErr w:type="spellEnd"/>
      <w:r>
        <w:t>) e coleta de tempos em campo.</w:t>
      </w:r>
    </w:p>
    <w:p w14:paraId="674FE96C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Ações: </w:t>
      </w:r>
      <w:r>
        <w:t>construção do mapa de processo atual em BPMN, com raias (</w:t>
      </w:r>
      <w:proofErr w:type="spellStart"/>
      <w:r>
        <w:t>lanes</w:t>
      </w:r>
      <w:proofErr w:type="spellEnd"/>
      <w:r>
        <w:t xml:space="preserve">) separando Separador, Conferente e Embalador, para localizar onde a informação/qualidade se perde; </w:t>
      </w:r>
      <w:proofErr w:type="spellStart"/>
      <w:r>
        <w:t>cronoanálise</w:t>
      </w:r>
      <w:proofErr w:type="spellEnd"/>
      <w:r>
        <w:t xml:space="preserve"> dos tempos de ciclo de cada tarefa.</w:t>
      </w:r>
    </w:p>
    <w:p w14:paraId="7FBAD0D6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Entregável: </w:t>
      </w:r>
      <w:r>
        <w:t xml:space="preserve">diagrama BPMN </w:t>
      </w:r>
      <w:proofErr w:type="spellStart"/>
      <w:r>
        <w:t>As-Is</w:t>
      </w:r>
      <w:proofErr w:type="spellEnd"/>
      <w:r>
        <w:t xml:space="preserve"> com os gargalos visuais destacados e validação empírica dos tempos que levam ao P50 atual de 6 dias (LTI) e 13 dias (OCT total).</w:t>
      </w:r>
    </w:p>
    <w:p w14:paraId="3CEAA491" w14:textId="77777777" w:rsidR="006C7E23" w:rsidRDefault="00000000">
      <w:pPr>
        <w:pStyle w:val="Ttulo2"/>
        <w:spacing w:before="320" w:after="160"/>
      </w:pPr>
      <w:r>
        <w:t xml:space="preserve">A — </w:t>
      </w:r>
      <w:proofErr w:type="spellStart"/>
      <w:r>
        <w:t>Analyze</w:t>
      </w:r>
      <w:proofErr w:type="spellEnd"/>
      <w:r>
        <w:t xml:space="preserve"> (Analisar)</w:t>
      </w:r>
    </w:p>
    <w:p w14:paraId="10B82E36" w14:textId="77777777" w:rsidR="006C7E23" w:rsidRDefault="00000000">
      <w:pPr>
        <w:spacing w:after="200" w:line="300" w:lineRule="auto"/>
        <w:jc w:val="both"/>
      </w:pPr>
      <w:r>
        <w:t>Identificação das causas-raiz dos dois principais motivos de devolução, com Diagrama de Ishikawa e 5 Porquês:</w:t>
      </w:r>
    </w:p>
    <w:p w14:paraId="04D197CD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Por que 48,65% das devoluções são produto errado? </w:t>
      </w:r>
      <w:r>
        <w:t>hipótese: separação manual por lista de papel, sem conferência por código de barras, ou uso inadequado do WMS existente.</w:t>
      </w:r>
    </w:p>
    <w:p w14:paraId="77B9403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Por que 43,93% são danificados? </w:t>
      </w:r>
      <w:r>
        <w:t xml:space="preserve">hipótese: dimensionamento incorreto de caixas no </w:t>
      </w:r>
      <w:proofErr w:type="spellStart"/>
      <w:r>
        <w:t>packing</w:t>
      </w:r>
      <w:proofErr w:type="spellEnd"/>
      <w:r>
        <w:t>, ausência de material de amortecimento, ou carregamento inadequado no veículo.</w:t>
      </w:r>
    </w:p>
    <w:p w14:paraId="18E0F597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Entregável: </w:t>
      </w:r>
      <w:r>
        <w:t>matriz de causa-raiz priorizada por impacto financeiro (Seção 6.1) e operacional.</w:t>
      </w:r>
    </w:p>
    <w:p w14:paraId="093A6E83" w14:textId="77777777" w:rsidR="006C7E23" w:rsidRDefault="00000000">
      <w:pPr>
        <w:pStyle w:val="Ttulo2"/>
        <w:spacing w:before="320" w:after="160"/>
      </w:pPr>
      <w:r>
        <w:t>I — Improve (Melhorar)</w:t>
      </w:r>
    </w:p>
    <w:p w14:paraId="21AE4419" w14:textId="77777777" w:rsidR="006C7E23" w:rsidRDefault="00000000">
      <w:pPr>
        <w:spacing w:after="200" w:line="300" w:lineRule="auto"/>
        <w:jc w:val="both"/>
      </w:pPr>
      <w:r>
        <w:t>Redesenho dos subprocessos com foco em eliminação de erro na origem.</w:t>
      </w:r>
    </w:p>
    <w:p w14:paraId="357748E0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Ações: </w:t>
      </w:r>
      <w:r>
        <w:t xml:space="preserve">construção do diagrama BPMN </w:t>
      </w:r>
      <w:proofErr w:type="spellStart"/>
      <w:r>
        <w:t>To</w:t>
      </w:r>
      <w:proofErr w:type="spellEnd"/>
      <w:r>
        <w:t>-Be, incluindo travas operacionais obrigatórias (gateways de decisão que barram o fluxo se o código de barras for inválido).</w:t>
      </w:r>
    </w:p>
    <w:p w14:paraId="3C33926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proofErr w:type="spellStart"/>
      <w:r>
        <w:rPr>
          <w:b/>
          <w:bCs/>
        </w:rPr>
        <w:t>Picking</w:t>
      </w:r>
      <w:proofErr w:type="spellEnd"/>
      <w:r>
        <w:rPr>
          <w:b/>
          <w:bCs/>
        </w:rPr>
        <w:t xml:space="preserve">: </w:t>
      </w:r>
      <w:r>
        <w:t>implementação de coletores de dados com bipagem obrigatória (WMS), ou treinamento intensivo sobre seu uso correto onde já exista.</w:t>
      </w:r>
    </w:p>
    <w:p w14:paraId="2183D81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proofErr w:type="spellStart"/>
      <w:r>
        <w:rPr>
          <w:b/>
          <w:bCs/>
        </w:rPr>
        <w:lastRenderedPageBreak/>
        <w:t>Packing</w:t>
      </w:r>
      <w:proofErr w:type="spellEnd"/>
      <w:r>
        <w:rPr>
          <w:b/>
          <w:bCs/>
        </w:rPr>
        <w:t xml:space="preserve">: </w:t>
      </w:r>
      <w:r>
        <w:t>padronização de 3 tamanhos de caixa e uso obrigatório de plástico bolha/</w:t>
      </w:r>
      <w:proofErr w:type="spellStart"/>
      <w:r>
        <w:t>Arphill</w:t>
      </w:r>
      <w:proofErr w:type="spellEnd"/>
      <w:r>
        <w:t xml:space="preserve"> para itens frágeis e filme </w:t>
      </w:r>
      <w:proofErr w:type="spellStart"/>
      <w:r>
        <w:t>stretch</w:t>
      </w:r>
      <w:proofErr w:type="spellEnd"/>
      <w:r>
        <w:t xml:space="preserve"> para paletização.</w:t>
      </w:r>
    </w:p>
    <w:p w14:paraId="5A053142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Entregável: </w:t>
      </w:r>
      <w:r>
        <w:t xml:space="preserve">fluxograma BPMN </w:t>
      </w:r>
      <w:proofErr w:type="spellStart"/>
      <w:r>
        <w:t>To</w:t>
      </w:r>
      <w:proofErr w:type="spellEnd"/>
      <w:r>
        <w:t>-Be homologado e cronograma de implementação tecnológica.</w:t>
      </w:r>
    </w:p>
    <w:p w14:paraId="143FA172" w14:textId="77777777" w:rsidR="006C7E23" w:rsidRDefault="00000000">
      <w:pPr>
        <w:pStyle w:val="Ttulo2"/>
        <w:spacing w:before="320" w:after="160"/>
      </w:pPr>
      <w:r>
        <w:t xml:space="preserve">C — </w:t>
      </w:r>
      <w:proofErr w:type="spellStart"/>
      <w:r>
        <w:t>Control</w:t>
      </w:r>
      <w:proofErr w:type="spellEnd"/>
      <w:r>
        <w:t xml:space="preserve"> (Controlar)</w:t>
      </w:r>
    </w:p>
    <w:p w14:paraId="68215E8A" w14:textId="77777777" w:rsidR="006C7E23" w:rsidRDefault="00000000">
      <w:pPr>
        <w:spacing w:after="200" w:line="300" w:lineRule="auto"/>
        <w:jc w:val="both"/>
      </w:pPr>
      <w:r>
        <w:t>Garantia de que a operação não regride aos padrões antigos.</w:t>
      </w:r>
    </w:p>
    <w:p w14:paraId="6334C2F3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Ações: </w:t>
      </w:r>
      <w:r>
        <w:t xml:space="preserve">criação de </w:t>
      </w:r>
      <w:proofErr w:type="spellStart"/>
      <w:r>
        <w:t>POPs</w:t>
      </w:r>
      <w:proofErr w:type="spellEnd"/>
      <w:r>
        <w:t xml:space="preserve"> (Procedimentos Operacionais Padrão) baseados no novo BPMN e painel de Gestão à Vista no galpão.</w:t>
      </w:r>
    </w:p>
    <w:p w14:paraId="7A27D6EA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Monitoramento contínuo: </w:t>
      </w:r>
      <w:r>
        <w:t xml:space="preserve">acompanhamento diário dos indicadores macro (OTD, OTIF, % devoluções) e micro (erros de </w:t>
      </w:r>
      <w:proofErr w:type="spellStart"/>
      <w:r>
        <w:t>picking</w:t>
      </w:r>
      <w:proofErr w:type="spellEnd"/>
      <w:r>
        <w:t xml:space="preserve"> por operador, avarias por lote de </w:t>
      </w:r>
      <w:proofErr w:type="spellStart"/>
      <w:r>
        <w:t>packing</w:t>
      </w:r>
      <w:proofErr w:type="spellEnd"/>
      <w:r>
        <w:t>).</w:t>
      </w:r>
    </w:p>
    <w:p w14:paraId="656CCBC3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Entregável: </w:t>
      </w:r>
      <w:r>
        <w:t>dashboards de controle e plano de contingência para desvios dos novos padrões.</w:t>
      </w:r>
    </w:p>
    <w:p w14:paraId="19D1E251" w14:textId="77777777" w:rsidR="006C7E23" w:rsidRDefault="00000000">
      <w:r>
        <w:br w:type="page"/>
      </w:r>
    </w:p>
    <w:p w14:paraId="23E3F52D" w14:textId="77777777" w:rsidR="006C7E23" w:rsidRDefault="00000000">
      <w:pPr>
        <w:pStyle w:val="Ttulo1"/>
        <w:spacing w:before="420"/>
      </w:pPr>
      <w:r>
        <w:lastRenderedPageBreak/>
        <w:t>9. Síntese: Gargalos, Qualidades e Oportunidades</w:t>
      </w:r>
    </w:p>
    <w:p w14:paraId="7B417837" w14:textId="77777777" w:rsidR="006C7E23" w:rsidRDefault="00000000">
      <w:pPr>
        <w:pStyle w:val="Ttulo2"/>
        <w:spacing w:before="320" w:after="160"/>
      </w:pPr>
      <w:r>
        <w:t>9.1. Gargalos Identificados</w:t>
      </w:r>
    </w:p>
    <w:p w14:paraId="19ADD10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SLA comercial descolado da realidade operacional. </w:t>
      </w:r>
      <w:r>
        <w:t>Prazo de 10 dias fixo, definido sem base estatística, gerando 73,21% de atraso mesmo no cenário mediano da operação (OCT P50 de 13 dias).</w:t>
      </w:r>
    </w:p>
    <w:p w14:paraId="3C3843D2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Falha de conferência no </w:t>
      </w:r>
      <w:proofErr w:type="spellStart"/>
      <w:r>
        <w:rPr>
          <w:b/>
          <w:bCs/>
          <w:color w:val="FF6B5B"/>
        </w:rPr>
        <w:t>picking</w:t>
      </w:r>
      <w:proofErr w:type="spellEnd"/>
      <w:r>
        <w:rPr>
          <w:b/>
          <w:bCs/>
          <w:color w:val="FF6B5B"/>
        </w:rPr>
        <w:t xml:space="preserve">. </w:t>
      </w:r>
      <w:r>
        <w:t>Ausência aparente de bipagem/conferência sistemática por código de barras, responsável por 48,65% das devoluções e disseminada em 75,25% dos pedidos.</w:t>
      </w:r>
    </w:p>
    <w:p w14:paraId="558EA010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Padrão de embalagem inadequado no </w:t>
      </w:r>
      <w:proofErr w:type="spellStart"/>
      <w:r>
        <w:rPr>
          <w:b/>
          <w:bCs/>
          <w:color w:val="FF6B5B"/>
        </w:rPr>
        <w:t>packing</w:t>
      </w:r>
      <w:proofErr w:type="spellEnd"/>
      <w:r>
        <w:rPr>
          <w:b/>
          <w:bCs/>
          <w:color w:val="FF6B5B"/>
        </w:rPr>
        <w:t xml:space="preserve">. </w:t>
      </w:r>
      <w:r>
        <w:t>43,93% das devoluções por avaria, sugerindo dimensionamento de caixa e amortecimento insuficientes.</w:t>
      </w:r>
    </w:p>
    <w:p w14:paraId="5B9F584F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Desequilíbrio de alocação de frota. </w:t>
      </w:r>
      <w:r>
        <w:t xml:space="preserve">Gap de até 13,3 </w:t>
      </w:r>
      <w:proofErr w:type="spellStart"/>
      <w:r>
        <w:t>p.p</w:t>
      </w:r>
      <w:proofErr w:type="spellEnd"/>
      <w:r>
        <w:t>. entre o melhor e o pior motorista na mesma rota (Rio de Janeiro), sem gestão ativa de afinidade rota-motorista.</w:t>
      </w:r>
    </w:p>
    <w:p w14:paraId="0B0BA80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Rota do Rio de Janeiro estruturalmente pior. </w:t>
      </w:r>
      <w:r>
        <w:t>Permanece acima da média mesmo após a calibração de SLA (29,69% vs. 29,12% da média geral), indicando possível fator de infraestrutura, distância ou trânsito ainda não investigado.</w:t>
      </w:r>
    </w:p>
    <w:p w14:paraId="593968B5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Ausência de custo de devolução na base de dados. </w:t>
      </w:r>
      <w:r>
        <w:t>A base bruta não registra o valor unitário do item devolvido nem sua destinação (perda total ou retorno ao estoque), o que hoje impede a apuração contábil exata do prejuízo — esta análise supriu essa lacuna com uma estimativa (Seção 6.1), mas o dado real precisa ser capturado no processo.</w:t>
      </w:r>
    </w:p>
    <w:p w14:paraId="0A72DDFF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Sazonalidade não gerenciada. </w:t>
      </w:r>
      <w:r>
        <w:t>O pico de faturamento entre julho e novembro não parece estar associado a reforço proporcional de equipe no armazém, o que pode agravar ainda mais a taxa de erro justamente nos meses de maior volume.</w:t>
      </w:r>
    </w:p>
    <w:p w14:paraId="73BB24E0" w14:textId="77777777" w:rsidR="006C7E23" w:rsidRDefault="00000000">
      <w:pPr>
        <w:pStyle w:val="Ttulo2"/>
        <w:spacing w:before="320" w:after="160"/>
      </w:pPr>
      <w:r>
        <w:t>9.2. Qualidades e Pontos Fortes</w:t>
      </w:r>
    </w:p>
    <w:p w14:paraId="6D8289C7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4A2A75"/>
        </w:rPr>
        <w:t xml:space="preserve">Rigor técnico do tratamento de dados e da modelagem DAX. </w:t>
      </w:r>
      <w:r>
        <w:t>Todas as medidas do modelo original (OTIF, OTIF Financeiro, Pareto nativo em DAX, % de atraso por contexto) foram auditadas nesta análise e batem exatamente com o recálculo independente a partir da base bruta — evidência de um pipeline de Power Query e DAX bem construído e confiável.</w:t>
      </w:r>
    </w:p>
    <w:p w14:paraId="43EC806B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4A2A75"/>
        </w:rPr>
        <w:t xml:space="preserve">Carteira de clientes de alto valor e ticket previsível. </w:t>
      </w:r>
      <w:r>
        <w:t>Ticket médio estável (R$ 339,04, baixa dispersão) e concentração em grandes contas de varejo (Walmart, Casas Bahia, Magazine Luiza, Americanas) — uma base de receita concentrada, mas de qualidade, o que torna o retorno de qualquer melhoria operacional mais mensurável e visível.</w:t>
      </w:r>
    </w:p>
    <w:p w14:paraId="63075CB7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4A2A75"/>
        </w:rPr>
        <w:t xml:space="preserve">Frota balanceada em volume. </w:t>
      </w:r>
      <w:r>
        <w:t>A distribuição de pedidos entre os 6 motoristas é homogênea (664 a 753 pedidos, variação de apenas 13%), descartando sobrecarga como fator de causa — o que facilita e barateia a correção, já que se trata de realocação e não de contratação.</w:t>
      </w:r>
    </w:p>
    <w:p w14:paraId="2C7CBC23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4A2A75"/>
        </w:rPr>
        <w:t xml:space="preserve">Diagnóstico corretamente segmentado por etapa. </w:t>
      </w:r>
      <w:r>
        <w:t>A decomposição do ciclo em LTI (armazém) e TT (transporte) já realizada no projeto original permite atacar cada etapa com uma frente de ação distinta, evitando a armadilha de tratar o sintoma agregado como se fosse uma única causa.</w:t>
      </w:r>
    </w:p>
    <w:p w14:paraId="484A5485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4A2A75"/>
        </w:rPr>
        <w:t xml:space="preserve">Proposta de solução de baixo custo e alto impacto imediato. </w:t>
      </w:r>
      <w:r>
        <w:t>A calibração de SLA é reversível, não exige investimento e já entrega, isoladamente, uma queda de 44 pontos percentuais na taxa de atraso — um ganho gerencial rápido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win</w:t>
      </w:r>
      <w:proofErr w:type="spellEnd"/>
      <w:r>
        <w:t>) que libera espaço para investir na correção estrutural do armazém.</w:t>
      </w:r>
    </w:p>
    <w:p w14:paraId="669948EE" w14:textId="77777777" w:rsidR="006C7E23" w:rsidRDefault="00000000">
      <w:pPr>
        <w:pStyle w:val="Ttulo2"/>
        <w:spacing w:before="320" w:after="160"/>
      </w:pPr>
      <w:r>
        <w:lastRenderedPageBreak/>
        <w:t>9.3. Oportunidades de Melhoria Adicionais</w:t>
      </w:r>
    </w:p>
    <w:p w14:paraId="218FD1C4" w14:textId="77777777" w:rsidR="006C7E23" w:rsidRDefault="00000000">
      <w:pPr>
        <w:spacing w:after="200" w:line="300" w:lineRule="auto"/>
        <w:jc w:val="both"/>
      </w:pPr>
      <w:r>
        <w:t xml:space="preserve">Além da calibração de SLA e do programa DMAIC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 xml:space="preserve"> já propostos, esta análise identifica as seguintes frentes complementares:</w:t>
      </w:r>
    </w:p>
    <w:p w14:paraId="256F16FC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Captura de custo real de devolução. </w:t>
      </w:r>
      <w:r>
        <w:t>Incluir no processo (WMS ou planilha de controle) o valor de custo do item, o motivo detalhado da baixa e a destinação (retorno a estoque vs. perda total), permitindo substituir a estimativa da Seção 6.1 por um dado contábil exato.</w:t>
      </w:r>
    </w:p>
    <w:p w14:paraId="31D17FAA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SLA dinâmico por destino, não mais fixo único. </w:t>
      </w:r>
      <w:r>
        <w:t>Em vez de um único prazo fixo (mesmo que calibrado para 15 dias), avaliar um SLA diferenciado por destino com base no Transit Time histórico de cada rota — a rota do Rio de Janeiro, por exemplo, pode justificar 1-2 dias adicionais até que a causa de infraestrutura seja resolvida, evitando prometer o mesmo prazo para rotas com características logísticas distintas.</w:t>
      </w:r>
    </w:p>
    <w:p w14:paraId="4D1B667D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Programa de performance e incentivo para motoristas. </w:t>
      </w:r>
      <w:r>
        <w:t xml:space="preserve">Formalizar a leitura de performance individual (hoje visível apenas em dashboard) em um programa de acompanhamento com metas e eventual bonificação, dando ao remanejamento de rotas da Seção </w:t>
      </w:r>
      <w:proofErr w:type="gramStart"/>
      <w:r>
        <w:t>7.2 continuidade</w:t>
      </w:r>
      <w:proofErr w:type="gramEnd"/>
      <w:r>
        <w:t xml:space="preserve"> estruturada, e não apenas uma ação pontual.</w:t>
      </w:r>
    </w:p>
    <w:p w14:paraId="2F37990F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Dimensionamento sazonal de mão de obra. </w:t>
      </w:r>
      <w:r>
        <w:t xml:space="preserve">Reforçar a equipe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 xml:space="preserve"> a partir de junho, antecipando o pico de faturamento de julho a novembro identificado na Seção 3.2, para que o volume adicional não deteriore ainda mais a taxa de erro de separação.</w:t>
      </w:r>
    </w:p>
    <w:p w14:paraId="02F7B184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Investigação dedicada da rota do Rio de Janeiro. </w:t>
      </w:r>
      <w:r>
        <w:t>Como essa rota permanece acima da média mesmo após a calibração de SLA, recomenda-se um estudo específico de causa (distância real, pedágios, restrição de circulação urbana, trânsito) antes de decidir entre renegociação de frete, troca de transportadora ou novo SLA específico para o destino.</w:t>
      </w:r>
    </w:p>
    <w:p w14:paraId="7361B8FE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Pesquisa de satisfação com os clientes de alto impacto. </w:t>
      </w:r>
      <w:r>
        <w:t>Como Walmart, Casas Bahia, Magazine Luiza e Americanas concentram 83,76% do faturamento e historicamente sofreram mais com o baixo nível de serviço, uma pesquisa de satisfação (NPS ou CSAT) pontual ajudaria a medir se a percepção do cliente já melhora com as ações propostas, antes de esperar por renovação de contrato.</w:t>
      </w:r>
    </w:p>
    <w:p w14:paraId="0702D048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Automação e recorrência do dashboard. </w:t>
      </w:r>
      <w:r>
        <w:t>Migrar a atualização do modelo de Power BI para um fluxo automatizado (Power BI Service/Gateway) com atualização diária, permitindo que os indicadores de controle da etapa "C" do DMAIC (Seção 8) sejam monitorados em tempo quase real pela gestão do galpão.</w:t>
      </w:r>
    </w:p>
    <w:p w14:paraId="11FD02D8" w14:textId="77777777" w:rsidR="006C7E23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Revisão periódica do SLA calibrado. </w:t>
      </w:r>
      <w:r>
        <w:t>O prazo de 15 dias deve ser tratado como um novo ponto de partida, não como solução definitiva — à medida que o programa DMAIC reduzir a variabilidade de LTI e TT, o SLA deve ser revisado trimestralmente para baixo, com o objetivo de recuperar competitividade comercial sem reabrir o problema de atraso sistêmico.</w:t>
      </w:r>
    </w:p>
    <w:p w14:paraId="3262E426" w14:textId="77777777" w:rsidR="006C7E23" w:rsidRDefault="00000000">
      <w:r>
        <w:br w:type="page"/>
      </w:r>
    </w:p>
    <w:p w14:paraId="16D74AD1" w14:textId="77777777" w:rsidR="006C7E23" w:rsidRDefault="00000000">
      <w:pPr>
        <w:pStyle w:val="Ttulo1"/>
        <w:spacing w:before="420"/>
      </w:pPr>
      <w:r>
        <w:lastRenderedPageBreak/>
        <w:t>10. Plano de Ação Priorizado</w:t>
      </w:r>
    </w:p>
    <w:p w14:paraId="5C5DF290" w14:textId="77777777" w:rsidR="006C7E23" w:rsidRDefault="00000000">
      <w:pPr>
        <w:spacing w:after="200" w:line="300" w:lineRule="auto"/>
        <w:jc w:val="both"/>
      </w:pPr>
      <w:r>
        <w:t>As ações recomendadas foram organizadas por prazo de implementação e relação entre impacto esperado e esforço necessário, para orientar a sequência de execução: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150"/>
        <w:gridCol w:w="1150"/>
        <w:gridCol w:w="2100"/>
        <w:gridCol w:w="1850"/>
      </w:tblGrid>
      <w:tr w:rsidR="006C7E23" w14:paraId="6C992864" w14:textId="77777777">
        <w:trPr>
          <w:tblHeader/>
        </w:trPr>
        <w:tc>
          <w:tcPr>
            <w:tcW w:w="31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F78D3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11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AE975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1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AE6D2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Esforço</w:t>
            </w:r>
          </w:p>
        </w:tc>
        <w:tc>
          <w:tcPr>
            <w:tcW w:w="210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604C4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  <w:tc>
          <w:tcPr>
            <w:tcW w:w="1850" w:type="dxa"/>
            <w:shd w:val="clear" w:color="auto" w:fill="6C3FA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1C46B" w14:textId="77777777" w:rsidR="006C7E2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Responsável Sugerido</w:t>
            </w:r>
          </w:p>
        </w:tc>
      </w:tr>
      <w:tr w:rsidR="006C7E23" w14:paraId="022AF337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F774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Calibrar SLA comercial de 10 para 15 dias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F5E1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A8CB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6722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Imediato (0-30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5F1D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Comercial + Diretoria</w:t>
            </w:r>
          </w:p>
        </w:tc>
      </w:tr>
      <w:tr w:rsidR="006C7E23" w14:paraId="3DAFFA1D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1240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Remanejar rota RJ/SP entre Luiz Pardal e Marcos Leroy (piloto)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F57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C6C9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EAED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Imediato (0-30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5C9E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Gerência de Transporte</w:t>
            </w:r>
          </w:p>
        </w:tc>
      </w:tr>
      <w:tr w:rsidR="006C7E23" w14:paraId="0AB9999A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AF7CA" w14:textId="77777777" w:rsidR="006C7E23" w:rsidRPr="00AE2CFE" w:rsidRDefault="00000000">
            <w:pPr>
              <w:jc w:val="center"/>
              <w:rPr>
                <w:lang w:val="en-US"/>
              </w:rPr>
            </w:pPr>
            <w:proofErr w:type="spellStart"/>
            <w:r w:rsidRPr="00AE2CFE">
              <w:rPr>
                <w:color w:val="3A3A3A"/>
                <w:sz w:val="19"/>
                <w:szCs w:val="19"/>
                <w:lang w:val="en-US"/>
              </w:rPr>
              <w:t>Formalizar</w:t>
            </w:r>
            <w:proofErr w:type="spellEnd"/>
            <w:r w:rsidRPr="00AE2CFE">
              <w:rPr>
                <w:color w:val="3A3A3A"/>
                <w:sz w:val="19"/>
                <w:szCs w:val="19"/>
                <w:lang w:val="en-US"/>
              </w:rPr>
              <w:t xml:space="preserve"> Project Charter </w:t>
            </w:r>
            <w:proofErr w:type="gramStart"/>
            <w:r w:rsidRPr="00AE2CFE">
              <w:rPr>
                <w:color w:val="3A3A3A"/>
                <w:sz w:val="19"/>
                <w:szCs w:val="19"/>
                <w:lang w:val="en-US"/>
              </w:rPr>
              <w:t>do</w:t>
            </w:r>
            <w:proofErr w:type="gramEnd"/>
            <w:r w:rsidRPr="00AE2CFE">
              <w:rPr>
                <w:color w:val="3A3A3A"/>
                <w:sz w:val="19"/>
                <w:szCs w:val="19"/>
                <w:lang w:val="en-US"/>
              </w:rPr>
              <w:t xml:space="preserve"> DMAIC picking/packing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0BE4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05E9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AAF6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Curto prazo (30-60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82B1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Analista de Processos</w:t>
            </w:r>
          </w:p>
        </w:tc>
      </w:tr>
      <w:tr w:rsidR="006C7E23" w14:paraId="3CCDF7AB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65BA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Mapear processo </w:t>
            </w:r>
            <w:proofErr w:type="spellStart"/>
            <w:r>
              <w:rPr>
                <w:color w:val="3A3A3A"/>
                <w:sz w:val="19"/>
                <w:szCs w:val="19"/>
              </w:rPr>
              <w:t>As-Is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em BPMN + </w:t>
            </w:r>
            <w:proofErr w:type="spellStart"/>
            <w:r>
              <w:rPr>
                <w:color w:val="3A3A3A"/>
                <w:sz w:val="19"/>
                <w:szCs w:val="19"/>
              </w:rPr>
              <w:t>cronoanálise</w:t>
            </w:r>
            <w:proofErr w:type="spellEnd"/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7AE3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2B6C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A47A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Curto prazo (30-60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CCD5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Analista de Processos</w:t>
            </w:r>
          </w:p>
        </w:tc>
      </w:tr>
      <w:tr w:rsidR="006C7E23" w14:paraId="7E50DF72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3210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Capturar custo real e destinação da devolução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6F57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2B91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41E7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Curto prazo (30-60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1BD8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TI/WMS + Logística</w:t>
            </w:r>
          </w:p>
        </w:tc>
      </w:tr>
      <w:tr w:rsidR="006C7E23" w14:paraId="4F457774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91ED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Implementar bipagem obrigatória no </w:t>
            </w:r>
            <w:proofErr w:type="spellStart"/>
            <w:r>
              <w:rPr>
                <w:color w:val="3A3A3A"/>
                <w:sz w:val="19"/>
                <w:szCs w:val="19"/>
              </w:rPr>
              <w:t>picking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(WMS)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0CC7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19BA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DDB2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DD79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TI + Operação de Armazém</w:t>
            </w:r>
          </w:p>
        </w:tc>
      </w:tr>
      <w:tr w:rsidR="006C7E23" w14:paraId="5BD9EF02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479A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Padronizar caixas e material de amortecimento no </w:t>
            </w:r>
            <w:proofErr w:type="spellStart"/>
            <w:r>
              <w:rPr>
                <w:color w:val="3A3A3A"/>
                <w:sz w:val="19"/>
                <w:szCs w:val="19"/>
              </w:rPr>
              <w:t>packing</w:t>
            </w:r>
            <w:proofErr w:type="spellEnd"/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CC83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92B0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3EDC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6B7E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Operação de Armazém</w:t>
            </w:r>
          </w:p>
        </w:tc>
      </w:tr>
      <w:tr w:rsidR="006C7E23" w14:paraId="6618B569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3149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Investigar causa raiz da rota do Rio de Janeiro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AB2A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4DF4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57CA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B195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Gerência de Transporte</w:t>
            </w:r>
          </w:p>
        </w:tc>
      </w:tr>
      <w:tr w:rsidR="006C7E23" w14:paraId="13ADF0EC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478ED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Dimensionar equipe sazonal (</w:t>
            </w:r>
            <w:proofErr w:type="spellStart"/>
            <w:r>
              <w:rPr>
                <w:color w:val="3A3A3A"/>
                <w:sz w:val="19"/>
                <w:szCs w:val="19"/>
              </w:rPr>
              <w:t>jun-nov</w:t>
            </w:r>
            <w:proofErr w:type="spellEnd"/>
            <w:r>
              <w:rPr>
                <w:color w:val="3A3A3A"/>
                <w:sz w:val="19"/>
                <w:szCs w:val="19"/>
              </w:rPr>
              <w:t>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FF8A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2453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5BA6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BD09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RH + Operação de Armazém</w:t>
            </w:r>
          </w:p>
        </w:tc>
      </w:tr>
      <w:tr w:rsidR="006C7E23" w14:paraId="031D5E5F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04CD4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Criar </w:t>
            </w:r>
            <w:proofErr w:type="spellStart"/>
            <w:r>
              <w:rPr>
                <w:color w:val="3A3A3A"/>
                <w:sz w:val="19"/>
                <w:szCs w:val="19"/>
              </w:rPr>
              <w:t>POPs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e painel de Gestão à Vista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0123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8BB5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74116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8AC0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Analista de Processos</w:t>
            </w:r>
          </w:p>
        </w:tc>
      </w:tr>
      <w:tr w:rsidR="006C7E23" w14:paraId="148EB982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A085A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Pesquisa de satisfação (NPS) com clientes de alto impacto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F341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F686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5C4E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 prazo (60-120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0EC8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Comercial</w:t>
            </w:r>
          </w:p>
        </w:tc>
      </w:tr>
      <w:tr w:rsidR="006C7E23" w14:paraId="539CDE20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F682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Programa de performance/incentivo para motoristas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A5A6F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C20C1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14A15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Longo prazo (120+ dias)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3C36B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RH + Gerência de Transporte</w:t>
            </w:r>
          </w:p>
        </w:tc>
      </w:tr>
      <w:tr w:rsidR="006C7E23" w14:paraId="59F7D615" w14:textId="77777777"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24DF0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Automatizar atualização do dashboard (Power BI Service)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4C1A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54EB3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Médio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9039E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Longo prazo (120+ dias)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C8F0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TI/BI</w:t>
            </w:r>
          </w:p>
        </w:tc>
      </w:tr>
      <w:tr w:rsidR="006C7E23" w14:paraId="3602BBE4" w14:textId="77777777">
        <w:tc>
          <w:tcPr>
            <w:tcW w:w="3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CDBF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Revisar SLA trimestralmente conforme ganhos do DMAIC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F61A2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Alto</w:t>
            </w:r>
          </w:p>
        </w:tc>
        <w:tc>
          <w:tcPr>
            <w:tcW w:w="11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14197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Baixo</w:t>
            </w:r>
          </w:p>
        </w:tc>
        <w:tc>
          <w:tcPr>
            <w:tcW w:w="210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E3179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Contínuo</w:t>
            </w:r>
          </w:p>
        </w:tc>
        <w:tc>
          <w:tcPr>
            <w:tcW w:w="1850" w:type="dxa"/>
            <w:shd w:val="clear" w:color="auto" w:fill="F2F0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CACEC" w14:textId="77777777" w:rsidR="006C7E23" w:rsidRDefault="00000000">
            <w:pPr>
              <w:jc w:val="center"/>
            </w:pPr>
            <w:r>
              <w:rPr>
                <w:color w:val="3A3A3A"/>
                <w:sz w:val="19"/>
                <w:szCs w:val="19"/>
              </w:rPr>
              <w:t>Comercial + Analista de Processos</w:t>
            </w:r>
          </w:p>
        </w:tc>
      </w:tr>
    </w:tbl>
    <w:p w14:paraId="21EEF1B9" w14:textId="77777777" w:rsidR="006C7E23" w:rsidRDefault="006C7E23">
      <w:pPr>
        <w:spacing w:after="200"/>
      </w:pPr>
    </w:p>
    <w:p w14:paraId="66BBFC27" w14:textId="77777777" w:rsidR="006C7E23" w:rsidRDefault="00000000">
      <w:pPr>
        <w:spacing w:after="200" w:line="300" w:lineRule="auto"/>
        <w:jc w:val="both"/>
      </w:pPr>
      <w:r>
        <w:t>A leitura recomendada da tabela é sequencial: as duas primeiras ações (calibração de SLA e piloto de remanejamento de rota) exigem apenas decisão gerencial e dado já disponível, entregando o maior ganho percentual do projeto em até 30 dias. As ações de médio prazo formam o núcleo do programa DMAIC e demandam investimento e mudança de processo, mas atacam a causa raiz financeira mais relevante (92,58% do valor em devolução). As ações de longo prazo consolidam o ganho e o tornam sustentável ao longo do tempo.</w:t>
      </w:r>
    </w:p>
    <w:p w14:paraId="54C55BFA" w14:textId="77777777" w:rsidR="006C7E23" w:rsidRDefault="00000000">
      <w:r>
        <w:br w:type="page"/>
      </w:r>
    </w:p>
    <w:p w14:paraId="326670AB" w14:textId="0C113700" w:rsidR="006C7E23" w:rsidRDefault="00000000" w:rsidP="00176FB0">
      <w:pPr>
        <w:pStyle w:val="Ttulo1"/>
        <w:tabs>
          <w:tab w:val="left" w:pos="3870"/>
        </w:tabs>
        <w:spacing w:before="420"/>
      </w:pPr>
      <w:r>
        <w:lastRenderedPageBreak/>
        <w:t>11. Conclusão</w:t>
      </w:r>
      <w:r w:rsidR="00176FB0">
        <w:tab/>
      </w:r>
    </w:p>
    <w:p w14:paraId="1EFD2AB6" w14:textId="77777777" w:rsidR="006C7E23" w:rsidRDefault="00000000">
      <w:pPr>
        <w:spacing w:after="200" w:line="300" w:lineRule="auto"/>
        <w:jc w:val="both"/>
      </w:pPr>
      <w:r>
        <w:t>A operação logística analisada apresenta um paradoxo comum em empresas em crescimento: uma base de clientes de alto valor e uma frota bem dimensionada convivendo com indicadores de nível de serviço criticamente baixos (OTIF de 6,89%). Este relatório demonstrou, com validação independente de todas as fontes de dados fornecidas, que esse paradoxo é explicado por três causas concorrentes — SLA comercial mal calibrado, falha de conferência no armazém e desequilíbrio de alocação de frota — e não por uma única falha isolada.</w:t>
      </w:r>
    </w:p>
    <w:p w14:paraId="715C52BE" w14:textId="77777777" w:rsidR="006C7E23" w:rsidRDefault="00000000">
      <w:pPr>
        <w:spacing w:after="200" w:line="300" w:lineRule="auto"/>
        <w:jc w:val="both"/>
      </w:pPr>
      <w:r>
        <w:t xml:space="preserve">A ação de menor custo e maior impacto imediato, a calibração do SLA de 10 para 15 dias, já está pronta para implementação e reduz a taxa de atraso em 44 pontos percentuais sem qualquer investimento. Ela deve, no entanto, ser tratada como o que é: um ajuste de expectativa que </w:t>
      </w:r>
      <w:r>
        <w:rPr>
          <w:b/>
          <w:bCs/>
        </w:rPr>
        <w:t>revela</w:t>
      </w:r>
      <w:r>
        <w:t xml:space="preserve"> — e não resolve — os problemas estruturais de </w:t>
      </w:r>
      <w:proofErr w:type="spellStart"/>
      <w:r>
        <w:t>picking</w:t>
      </w:r>
      <w:proofErr w:type="spellEnd"/>
      <w:r>
        <w:t xml:space="preserve">, </w:t>
      </w:r>
      <w:proofErr w:type="spellStart"/>
      <w:r>
        <w:t>packing</w:t>
      </w:r>
      <w:proofErr w:type="spellEnd"/>
      <w:r>
        <w:t xml:space="preserve"> e alocação de rota que respondem por praticamente todo o valor financeiro em risco (R$ 259,5 mil, 92,58% concentrados em produto errado e produto danificado). O programa DMAIC detalhado na Seção 8, combinado com as oportunidades adicionais da Seção 9.3 e o cronograma priorizado da Seção 10, formam o caminho recomendado para que a empresa evolua de um patamar de sobrevivência operacional para um patamar de excelência em nível de serviço, com ganhos sustentáveis e mensuráveis trimestre a trimestre.</w:t>
      </w:r>
    </w:p>
    <w:p w14:paraId="7DDF3FED" w14:textId="77777777" w:rsidR="006C7E23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Fim do relatório —</w:t>
      </w:r>
    </w:p>
    <w:sectPr w:rsidR="006C7E23">
      <w:headerReference w:type="default" r:id="rId23"/>
      <w:footerReference w:type="default" r:id="rId24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063E" w14:textId="77777777" w:rsidR="00B82247" w:rsidRDefault="00B82247">
      <w:r>
        <w:separator/>
      </w:r>
    </w:p>
  </w:endnote>
  <w:endnote w:type="continuationSeparator" w:id="0">
    <w:p w14:paraId="59F58971" w14:textId="77777777" w:rsidR="00B82247" w:rsidRDefault="00B8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66C7" w14:textId="77777777" w:rsidR="006C7E23" w:rsidRDefault="00000000">
    <w:pPr>
      <w:jc w:val="center"/>
    </w:pPr>
    <w:r>
      <w:rPr>
        <w:color w:val="999999"/>
        <w:sz w:val="16"/>
        <w:szCs w:val="16"/>
      </w:rPr>
      <w:t xml:space="preserve">Relatório de Análise de Dados, Performance e </w:t>
    </w:r>
    <w:proofErr w:type="gramStart"/>
    <w:r>
      <w:rPr>
        <w:color w:val="999999"/>
        <w:sz w:val="16"/>
        <w:szCs w:val="16"/>
      </w:rPr>
      <w:t>Processos  ·</w:t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E2CF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AE2CF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03A6" w14:textId="77777777" w:rsidR="00B82247" w:rsidRDefault="00B82247">
      <w:r>
        <w:separator/>
      </w:r>
    </w:p>
  </w:footnote>
  <w:footnote w:type="continuationSeparator" w:id="0">
    <w:p w14:paraId="2BC9007D" w14:textId="77777777" w:rsidR="00B82247" w:rsidRDefault="00B82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B3CD" w14:textId="41222231" w:rsidR="006C7E23" w:rsidRDefault="00176FB0">
    <w:pPr>
      <w:jc w:val="right"/>
    </w:pPr>
    <w:r w:rsidRPr="00176FB0">
      <w:rPr>
        <w:b/>
        <w:bCs/>
        <w:color w:val="999999"/>
        <w:sz w:val="20"/>
        <w:szCs w:val="20"/>
      </w:rPr>
      <w:t xml:space="preserve">AUTOR: DANIEL VASCONCELOS MARTINI      </w:t>
    </w:r>
    <w:r w:rsidRPr="00176FB0">
      <w:rPr>
        <w:color w:val="999999"/>
        <w:sz w:val="16"/>
        <w:szCs w:val="16"/>
      </w:rPr>
      <w:t xml:space="preserve">                                                                </w:t>
    </w:r>
    <w:r w:rsidR="00000000">
      <w:rPr>
        <w:color w:val="999999"/>
        <w:sz w:val="16"/>
        <w:szCs w:val="16"/>
      </w:rPr>
      <w:t>Diagnóstico Operacional e Comercial da Área de Logística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E6A03"/>
    <w:multiLevelType w:val="hybridMultilevel"/>
    <w:tmpl w:val="7992585E"/>
    <w:lvl w:ilvl="0" w:tplc="AA725C58">
      <w:start w:val="1"/>
      <w:numFmt w:val="bullet"/>
      <w:lvlText w:val="●"/>
      <w:lvlJc w:val="left"/>
      <w:pPr>
        <w:ind w:left="720" w:hanging="360"/>
      </w:pPr>
    </w:lvl>
    <w:lvl w:ilvl="1" w:tplc="1C788F48">
      <w:start w:val="1"/>
      <w:numFmt w:val="bullet"/>
      <w:lvlText w:val="○"/>
      <w:lvlJc w:val="left"/>
      <w:pPr>
        <w:ind w:left="1440" w:hanging="360"/>
      </w:pPr>
    </w:lvl>
    <w:lvl w:ilvl="2" w:tplc="63F2B8C8">
      <w:start w:val="1"/>
      <w:numFmt w:val="bullet"/>
      <w:lvlText w:val="■"/>
      <w:lvlJc w:val="left"/>
      <w:pPr>
        <w:ind w:left="2160" w:hanging="360"/>
      </w:pPr>
    </w:lvl>
    <w:lvl w:ilvl="3" w:tplc="82CC6834">
      <w:start w:val="1"/>
      <w:numFmt w:val="bullet"/>
      <w:lvlText w:val="●"/>
      <w:lvlJc w:val="left"/>
      <w:pPr>
        <w:ind w:left="2880" w:hanging="360"/>
      </w:pPr>
    </w:lvl>
    <w:lvl w:ilvl="4" w:tplc="07941BD4">
      <w:start w:val="1"/>
      <w:numFmt w:val="bullet"/>
      <w:lvlText w:val="○"/>
      <w:lvlJc w:val="left"/>
      <w:pPr>
        <w:ind w:left="3600" w:hanging="360"/>
      </w:pPr>
    </w:lvl>
    <w:lvl w:ilvl="5" w:tplc="F29CFB6C">
      <w:start w:val="1"/>
      <w:numFmt w:val="bullet"/>
      <w:lvlText w:val="■"/>
      <w:lvlJc w:val="left"/>
      <w:pPr>
        <w:ind w:left="4320" w:hanging="360"/>
      </w:pPr>
    </w:lvl>
    <w:lvl w:ilvl="6" w:tplc="128A77B8">
      <w:start w:val="1"/>
      <w:numFmt w:val="bullet"/>
      <w:lvlText w:val="●"/>
      <w:lvlJc w:val="left"/>
      <w:pPr>
        <w:ind w:left="5040" w:hanging="360"/>
      </w:pPr>
    </w:lvl>
    <w:lvl w:ilvl="7" w:tplc="4AA27EBC">
      <w:start w:val="1"/>
      <w:numFmt w:val="bullet"/>
      <w:lvlText w:val="●"/>
      <w:lvlJc w:val="left"/>
      <w:pPr>
        <w:ind w:left="5760" w:hanging="360"/>
      </w:pPr>
    </w:lvl>
    <w:lvl w:ilvl="8" w:tplc="98F45D3E">
      <w:start w:val="1"/>
      <w:numFmt w:val="bullet"/>
      <w:lvlText w:val="●"/>
      <w:lvlJc w:val="left"/>
      <w:pPr>
        <w:ind w:left="6480" w:hanging="360"/>
      </w:pPr>
    </w:lvl>
  </w:abstractNum>
  <w:num w:numId="1" w16cid:durableId="1320116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3"/>
    <w:rsid w:val="00176FB0"/>
    <w:rsid w:val="001976B2"/>
    <w:rsid w:val="006C7E23"/>
    <w:rsid w:val="009B1212"/>
    <w:rsid w:val="00AE2CFE"/>
    <w:rsid w:val="00B32FA7"/>
    <w:rsid w:val="00B82247"/>
    <w:rsid w:val="00E4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7D15"/>
  <w15:docId w15:val="{807EBB15-D840-4FAD-B814-95C6D9C8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4A2A75"/>
      </w:pBdr>
      <w:spacing w:before="400" w:after="200"/>
      <w:outlineLvl w:val="0"/>
    </w:pPr>
    <w:rPr>
      <w:b/>
      <w:bCs/>
      <w:color w:val="4A2A75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6C3FA8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i/>
      <w:iCs/>
      <w:color w:val="4A2A7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4A2A75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76FB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6FB0"/>
  </w:style>
  <w:style w:type="paragraph" w:styleId="Rodap">
    <w:name w:val="footer"/>
    <w:basedOn w:val="Normal"/>
    <w:link w:val="RodapChar"/>
    <w:uiPriority w:val="99"/>
    <w:unhideWhenUsed/>
    <w:rsid w:val="00176FB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23</Pages>
  <Words>5422</Words>
  <Characters>29283</Characters>
  <Application>Microsoft Office Word</Application>
  <DocSecurity>0</DocSecurity>
  <Lines>244</Lines>
  <Paragraphs>69</Paragraphs>
  <ScaleCrop>false</ScaleCrop>
  <Company/>
  <LinksUpToDate>false</LinksUpToDate>
  <CharactersWithSpaces>34636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Operacional e Comercial da Área de Logística</dc:title>
  <dc:creator>Análise de Dados, Performance e Processos</dc:creator>
  <dc:description>Relatório de análise de dados, performance e processos logísticos</dc:description>
  <cp:lastModifiedBy>Daniel Vasconcelos Martini</cp:lastModifiedBy>
  <cp:revision>6</cp:revision>
  <dcterms:created xsi:type="dcterms:W3CDTF">2026-09-18T02:04:00Z</dcterms:created>
  <dcterms:modified xsi:type="dcterms:W3CDTF">2026-09-21T00:42:00Z</dcterms:modified>
</cp:coreProperties>
</file>