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A21E70" w14:textId="153C4F12" w:rsidR="00BD3CC2" w:rsidRPr="00715401" w:rsidRDefault="00715401" w:rsidP="00715401">
      <w:pPr>
        <w:jc w:val="center"/>
        <w:rPr>
          <w:rFonts w:ascii="Century Gothic" w:eastAsia="Times New Roman" w:hAnsi="Century Gothic"/>
          <w:kern w:val="0"/>
          <w:sz w:val="28"/>
          <w14:ligatures w14:val="none"/>
        </w:rPr>
      </w:pPr>
      <w:r>
        <w:rPr>
          <w:rFonts w:ascii="Century Gothic" w:eastAsia="Times New Roman" w:hAnsi="Century Gothic"/>
          <w:kern w:val="0"/>
          <w:sz w:val="28"/>
          <w14:ligatures w14:val="none"/>
        </w:rPr>
        <w:t>Análisis Sociológico</w:t>
      </w:r>
      <w:bookmarkStart w:id="0" w:name="_GoBack"/>
      <w:bookmarkEnd w:id="0"/>
      <w:r>
        <w:rPr>
          <w:rFonts w:ascii="Century Gothic" w:eastAsia="Times New Roman" w:hAnsi="Century Gothic"/>
          <w:kern w:val="0"/>
          <w:sz w:val="28"/>
          <w14:ligatures w14:val="none"/>
        </w:rPr>
        <w:t xml:space="preserve"> </w:t>
      </w:r>
    </w:p>
    <w:p w14:paraId="1563F77C" w14:textId="77777777" w:rsidR="00E52F66" w:rsidRPr="00715401" w:rsidRDefault="00BD3CC2" w:rsidP="00715401">
      <w:pPr>
        <w:pStyle w:val="NormalWeb"/>
        <w:spacing w:line="360" w:lineRule="auto"/>
        <w:jc w:val="both"/>
        <w:rPr>
          <w:rFonts w:ascii="Century Gothic" w:hAnsi="Century Gothic"/>
          <w:sz w:val="22"/>
        </w:rPr>
      </w:pPr>
      <w:r>
        <w:t>​</w:t>
      </w:r>
      <w:r w:rsidRPr="00715401">
        <w:rPr>
          <w:rFonts w:ascii="Century Gothic" w:hAnsi="Century Gothic"/>
          <w:sz w:val="22"/>
        </w:rPr>
        <w:t xml:space="preserve">El presente trabajo es elaborado por Giovanna Lauro y Helen Segovia, en el mismo se </w:t>
      </w:r>
      <w:r w:rsidR="00E52F66" w:rsidRPr="00715401">
        <w:rPr>
          <w:rFonts w:ascii="Century Gothic" w:hAnsi="Century Gothic"/>
          <w:sz w:val="22"/>
        </w:rPr>
        <w:t>analizará</w:t>
      </w:r>
      <w:r w:rsidRPr="00715401">
        <w:rPr>
          <w:rFonts w:ascii="Century Gothic" w:hAnsi="Century Gothic"/>
          <w:sz w:val="22"/>
        </w:rPr>
        <w:t xml:space="preserve"> la novela "IONE" del escritor Mario Escobar, así también se identificarán los grupos sociales presentados en la novela, las relaciones de poder presentes en la obra y el cómo se desarrolla la economía en el transcurso de la misma.</w:t>
      </w:r>
      <w:r w:rsidR="00E52F66" w:rsidRPr="00715401">
        <w:rPr>
          <w:rFonts w:ascii="Century Gothic" w:hAnsi="Century Gothic"/>
          <w:sz w:val="22"/>
        </w:rPr>
        <w:t xml:space="preserve"> </w:t>
      </w:r>
    </w:p>
    <w:p w14:paraId="769129BF" w14:textId="2533C07B" w:rsidR="00BD3CC2" w:rsidRPr="00715401" w:rsidRDefault="00BD3CC2" w:rsidP="00715401">
      <w:pPr>
        <w:pStyle w:val="NormalWeb"/>
        <w:spacing w:line="360" w:lineRule="auto"/>
        <w:jc w:val="both"/>
        <w:rPr>
          <w:rFonts w:ascii="Century Gothic" w:hAnsi="Century Gothic"/>
          <w:sz w:val="22"/>
        </w:rPr>
      </w:pPr>
      <w:r w:rsidRPr="00715401">
        <w:rPr>
          <w:rFonts w:ascii="Century Gothic" w:hAnsi="Century Gothic"/>
          <w:sz w:val="22"/>
        </w:rPr>
        <w:t>A su vez estaremos profundizando la forma en la que se retrata el mundo de la obra con la clase social actual, situado dentro de un campo literario de su época. Para ello analizaremos el mundo social en</w:t>
      </w:r>
      <w:r w:rsidR="00E52F66" w:rsidRPr="00715401">
        <w:rPr>
          <w:rFonts w:ascii="Century Gothic" w:hAnsi="Century Gothic"/>
          <w:sz w:val="22"/>
        </w:rPr>
        <w:t xml:space="preserve"> el cual se desarrolla la obra </w:t>
      </w:r>
      <w:r w:rsidRPr="00715401">
        <w:rPr>
          <w:rFonts w:ascii="Century Gothic" w:hAnsi="Century Gothic"/>
          <w:sz w:val="22"/>
        </w:rPr>
        <w:t>con el fin de emitir una opinión crítica acerca de las relaciones sociales presentes en ella.</w:t>
      </w:r>
    </w:p>
    <w:p w14:paraId="39FB729B" w14:textId="77777777"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Para empezar con el análisis social de esta novela, debemos de situarnos en el inicio de esta.</w:t>
      </w:r>
    </w:p>
    <w:p w14:paraId="7E6885A3" w14:textId="77777777"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Esta novela inicia presentándonos a la ciudad de IONE, una ciudad que ha quedado sin adultos, ni mayores de 18 años. Al no tener adultos en la ciudad, son niños y adolescentes los que asumen el liderazgo. Al pasar esto, la forma de organización de la ciudad cambia drásticamente, siendo muy distinta al mundo liderado por los adultos.</w:t>
      </w:r>
    </w:p>
    <w:p w14:paraId="0ADBBC8C" w14:textId="1C4C58D0"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 xml:space="preserve">Es por esta nueva organización social que se establecen dos clases sociales en las que no existe un punto medio. </w:t>
      </w:r>
      <w:r w:rsidR="00E52F66" w:rsidRPr="00715401">
        <w:rPr>
          <w:rFonts w:ascii="Century Gothic" w:hAnsi="Century Gothic"/>
          <w:sz w:val="22"/>
        </w:rPr>
        <w:t xml:space="preserve">Por un lado, </w:t>
      </w:r>
      <w:r w:rsidRPr="00715401">
        <w:rPr>
          <w:rFonts w:ascii="Century Gothic" w:hAnsi="Century Gothic"/>
          <w:sz w:val="22"/>
        </w:rPr>
        <w:t>encontramos a los privilegiados, este grupo está formado por Frank y sus hombres. A lo largo de la novela se da a conocer cómo estos gozan de privilegios superiores a las demás personas, pues son estos quienes se quedan con la mayor parte de los alimentos y también</w:t>
      </w:r>
      <w:r w:rsidR="00E52F66" w:rsidRPr="00715401">
        <w:rPr>
          <w:rFonts w:ascii="Century Gothic" w:hAnsi="Century Gothic"/>
          <w:sz w:val="22"/>
        </w:rPr>
        <w:t xml:space="preserve"> son quienes dictan las normas esto se puede evidenciar en la página 9 del libro: “Pero</w:t>
      </w:r>
      <w:r w:rsidRPr="00715401">
        <w:rPr>
          <w:rFonts w:ascii="Century Gothic" w:hAnsi="Century Gothic"/>
          <w:sz w:val="22"/>
        </w:rPr>
        <w:t xml:space="preserve"> la realidad es que Frank y sus chicos comían hasta hartarse, mientras </w:t>
      </w:r>
      <w:r w:rsidR="00E52F66" w:rsidRPr="00715401">
        <w:rPr>
          <w:rFonts w:ascii="Century Gothic" w:hAnsi="Century Gothic"/>
          <w:sz w:val="22"/>
        </w:rPr>
        <w:t>que el resto pasábamos hambre".</w:t>
      </w:r>
    </w:p>
    <w:p w14:paraId="2ADD03C7" w14:textId="1E446A58"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 xml:space="preserve">Este </w:t>
      </w:r>
      <w:r w:rsidR="00E52F66" w:rsidRPr="00715401">
        <w:rPr>
          <w:rFonts w:ascii="Century Gothic" w:hAnsi="Century Gothic"/>
          <w:sz w:val="22"/>
        </w:rPr>
        <w:t xml:space="preserve">grupo, </w:t>
      </w:r>
      <w:r w:rsidRPr="00715401">
        <w:rPr>
          <w:rFonts w:ascii="Century Gothic" w:hAnsi="Century Gothic"/>
          <w:sz w:val="22"/>
        </w:rPr>
        <w:t>además, no trabajaba, lideraban la ciudad por medio de un autoritarismo extremo, oprimiendo a las personas de la otra clase social mientras que ellos gozaban de libertades, si bien existían los mecanismos para expresa</w:t>
      </w:r>
      <w:r w:rsidR="0062478F" w:rsidRPr="00715401">
        <w:rPr>
          <w:rFonts w:ascii="Century Gothic" w:hAnsi="Century Gothic"/>
          <w:sz w:val="22"/>
        </w:rPr>
        <w:t>r el voto popular (</w:t>
      </w:r>
      <w:r w:rsidR="00E52F66" w:rsidRPr="00715401">
        <w:rPr>
          <w:rFonts w:ascii="Century Gothic" w:hAnsi="Century Gothic"/>
          <w:sz w:val="22"/>
        </w:rPr>
        <w:t>La Asamblea), estos no funcionaban, permitiendo</w:t>
      </w:r>
      <w:r w:rsidRPr="00715401">
        <w:rPr>
          <w:rFonts w:ascii="Century Gothic" w:hAnsi="Century Gothic"/>
          <w:sz w:val="22"/>
        </w:rPr>
        <w:t xml:space="preserve"> que Frank </w:t>
      </w:r>
      <w:r w:rsidRPr="00715401">
        <w:rPr>
          <w:rFonts w:ascii="Century Gothic" w:hAnsi="Century Gothic"/>
          <w:sz w:val="22"/>
        </w:rPr>
        <w:lastRenderedPageBreak/>
        <w:t>anteponga s</w:t>
      </w:r>
      <w:r w:rsidR="00E52F66" w:rsidRPr="00715401">
        <w:rPr>
          <w:rFonts w:ascii="Century Gothic" w:hAnsi="Century Gothic"/>
          <w:sz w:val="22"/>
        </w:rPr>
        <w:t>us deseos frente al bien común. Tal como se evidencia en esta parte de la obra “La</w:t>
      </w:r>
      <w:r w:rsidRPr="00715401">
        <w:rPr>
          <w:rFonts w:ascii="Century Gothic" w:hAnsi="Century Gothic"/>
          <w:sz w:val="22"/>
        </w:rPr>
        <w:t xml:space="preserve"> Asamblea de los justos llevaba dos años sin convocarse, y Frank hacía lo que quería sin que a nadie pareciera importarle" (</w:t>
      </w:r>
      <w:r w:rsidR="00E52F66" w:rsidRPr="00715401">
        <w:rPr>
          <w:rFonts w:ascii="Century Gothic" w:hAnsi="Century Gothic"/>
          <w:sz w:val="22"/>
        </w:rPr>
        <w:t>Pág.</w:t>
      </w:r>
      <w:r w:rsidRPr="00715401">
        <w:rPr>
          <w:rFonts w:ascii="Century Gothic" w:hAnsi="Century Gothic"/>
          <w:sz w:val="22"/>
        </w:rPr>
        <w:t xml:space="preserve"> 10).</w:t>
      </w:r>
    </w:p>
    <w:p w14:paraId="7BE6B69E" w14:textId="46A69B12"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Otra característica</w:t>
      </w:r>
      <w:r w:rsidR="0062478F" w:rsidRPr="00715401">
        <w:rPr>
          <w:rFonts w:ascii="Century Gothic" w:hAnsi="Century Gothic"/>
          <w:sz w:val="22"/>
        </w:rPr>
        <w:t xml:space="preserve"> de este grupo es que no brindaban </w:t>
      </w:r>
      <w:r w:rsidRPr="00715401">
        <w:rPr>
          <w:rFonts w:ascii="Century Gothic" w:hAnsi="Century Gothic"/>
          <w:sz w:val="22"/>
        </w:rPr>
        <w:t xml:space="preserve">ningún tipo de apoyo, ni atención médica a la gente del pueblo, prefiriendo dejarlos morir, antes de asistirlos, esto se puede evidenciar en página 13 del libro </w:t>
      </w:r>
      <w:r w:rsidR="0062478F" w:rsidRPr="00715401">
        <w:rPr>
          <w:rFonts w:ascii="Century Gothic" w:hAnsi="Century Gothic"/>
          <w:sz w:val="22"/>
        </w:rPr>
        <w:t xml:space="preserve">en donde dice: </w:t>
      </w:r>
      <w:r w:rsidRPr="00715401">
        <w:rPr>
          <w:rFonts w:ascii="Century Gothic" w:hAnsi="Century Gothic"/>
          <w:sz w:val="22"/>
        </w:rPr>
        <w:t>"todo el mundo hablaba de que quienes caían enfermos y entraban en la clínica, nunca más volvían a ser vistos".</w:t>
      </w:r>
    </w:p>
    <w:p w14:paraId="5CF8B69F" w14:textId="77777777"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Lo contrario a esto es la segunda clase social que sería "El pueblo".</w:t>
      </w:r>
    </w:p>
    <w:p w14:paraId="4C82C8E7" w14:textId="77777777"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Este grupo está formado por la mayoría de habitantes en IONE, que al contrario del grupo "Privilegiado" estos contaban con recursos escasos y debían trabajar para subsistir.</w:t>
      </w:r>
    </w:p>
    <w:p w14:paraId="50622946" w14:textId="6A5EA18E"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Este grupo, además no contaba con posibilidades de elección de profesiones, simplemente o se unían a las granjas comunitarias o trabajaban en el mercado, y quizás unos pocos terminaban siendo subordinados de Frank tal como se evidencia en el libro "En IONE no hay mucho donde elegir; podes trabajar en la granja comunitaria, en el mercado, o convertirte en uno de los chicos de Frank" (</w:t>
      </w:r>
      <w:r w:rsidR="00715401" w:rsidRPr="00715401">
        <w:rPr>
          <w:rFonts w:ascii="Century Gothic" w:hAnsi="Century Gothic"/>
          <w:sz w:val="22"/>
        </w:rPr>
        <w:t>Pág.</w:t>
      </w:r>
      <w:r w:rsidRPr="00715401">
        <w:rPr>
          <w:rFonts w:ascii="Century Gothic" w:hAnsi="Century Gothic"/>
          <w:sz w:val="22"/>
        </w:rPr>
        <w:t xml:space="preserve"> 8).</w:t>
      </w:r>
    </w:p>
    <w:p w14:paraId="60D636B9" w14:textId="3078E9AC"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Además, este grupo debía de obedecer las leyes de Frank o serían severamente castigados haciendo trabajos forzosos en la mina tal como se muestra en el libro "Le podemos enviar a la mina, y allí nadie sobrevive más de un año" (</w:t>
      </w:r>
      <w:r w:rsidR="00715401" w:rsidRPr="00715401">
        <w:rPr>
          <w:rFonts w:ascii="Century Gothic" w:hAnsi="Century Gothic"/>
          <w:sz w:val="22"/>
        </w:rPr>
        <w:t>Pág.</w:t>
      </w:r>
      <w:r w:rsidRPr="00715401">
        <w:rPr>
          <w:rFonts w:ascii="Century Gothic" w:hAnsi="Century Gothic"/>
          <w:sz w:val="22"/>
        </w:rPr>
        <w:t xml:space="preserve"> 12).</w:t>
      </w:r>
    </w:p>
    <w:p w14:paraId="14FE3E50" w14:textId="77777777"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Otra cosa prohibida para esta clase social es el acceso a los libros, por lo que algunos habitantes se reunían para leer a escondidas. Esto se evidencia en la página 9 del libro en donde se expresa que "Nadie puede leer".</w:t>
      </w:r>
    </w:p>
    <w:p w14:paraId="78A93423" w14:textId="77777777"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Ahora enfocándonos en otro punto es importante hablar del pueblo de IONE en general, a lo largo de la novela se nos muestra cómo la ciudad de IONE no está en contacto con otras, sino que está aislada.</w:t>
      </w:r>
    </w:p>
    <w:p w14:paraId="7CC5A013" w14:textId="77777777" w:rsidR="00715401" w:rsidRDefault="00BD3CC2" w:rsidP="00715401">
      <w:pPr>
        <w:pStyle w:val="NormalWeb"/>
        <w:spacing w:line="360" w:lineRule="auto"/>
        <w:jc w:val="both"/>
        <w:rPr>
          <w:rFonts w:ascii="Arial" w:hAnsi="Arial" w:cs="Arial"/>
          <w:sz w:val="22"/>
        </w:rPr>
      </w:pPr>
      <w:r w:rsidRPr="00715401">
        <w:rPr>
          <w:rFonts w:ascii="Arial" w:hAnsi="Arial" w:cs="Arial"/>
          <w:sz w:val="22"/>
        </w:rPr>
        <w:t>​</w:t>
      </w:r>
    </w:p>
    <w:p w14:paraId="0E4221F2" w14:textId="06C9845A" w:rsidR="00BD3CC2" w:rsidRPr="00715401" w:rsidRDefault="00BD3CC2" w:rsidP="00715401">
      <w:pPr>
        <w:pStyle w:val="NormalWeb"/>
        <w:spacing w:line="360" w:lineRule="auto"/>
        <w:jc w:val="both"/>
        <w:rPr>
          <w:rFonts w:ascii="Century Gothic" w:hAnsi="Century Gothic"/>
          <w:sz w:val="22"/>
        </w:rPr>
      </w:pPr>
      <w:r w:rsidRPr="00715401">
        <w:rPr>
          <w:rFonts w:ascii="Century Gothic" w:hAnsi="Century Gothic"/>
          <w:sz w:val="22"/>
        </w:rPr>
        <w:lastRenderedPageBreak/>
        <w:t xml:space="preserve">Tampoco se admitían forasteros de otras ciudades, por miedo a que desafíen a la autoridad de Frank y la ciudad reciba contacto de </w:t>
      </w:r>
      <w:r w:rsidR="00715401" w:rsidRPr="00715401">
        <w:rPr>
          <w:rFonts w:ascii="Century Gothic" w:hAnsi="Century Gothic"/>
          <w:sz w:val="22"/>
        </w:rPr>
        <w:t>otro alrededor</w:t>
      </w:r>
      <w:r w:rsidRPr="00715401">
        <w:rPr>
          <w:rFonts w:ascii="Century Gothic" w:hAnsi="Century Gothic"/>
          <w:sz w:val="22"/>
        </w:rPr>
        <w:t>. En el capítulo "El forastero" esto se deja muy en claro, mostrándonos como la ciudad se sorprende al ver</w:t>
      </w:r>
      <w:r w:rsidR="0062478F" w:rsidRPr="00715401">
        <w:rPr>
          <w:rFonts w:ascii="Century Gothic" w:hAnsi="Century Gothic"/>
          <w:sz w:val="22"/>
        </w:rPr>
        <w:t xml:space="preserve"> a alguien que no es del pueblo, </w:t>
      </w:r>
      <w:r w:rsidRPr="00715401">
        <w:rPr>
          <w:rFonts w:ascii="Century Gothic" w:hAnsi="Century Gothic"/>
          <w:sz w:val="22"/>
        </w:rPr>
        <w:t>esto se evidencia en la página 16 del libro "¿Un forastero? Eso es imposible, en estos años nadie ha pasado por aquí".</w:t>
      </w:r>
    </w:p>
    <w:p w14:paraId="1A1D04BA" w14:textId="520E3899" w:rsidR="00BD3CC2" w:rsidRPr="00715401" w:rsidRDefault="00BD3CC2" w:rsidP="00715401">
      <w:pPr>
        <w:pStyle w:val="NormalWeb"/>
        <w:spacing w:line="360" w:lineRule="auto"/>
        <w:jc w:val="both"/>
        <w:rPr>
          <w:rFonts w:ascii="Century Gothic" w:hAnsi="Century Gothic"/>
          <w:sz w:val="22"/>
        </w:rPr>
      </w:pPr>
      <w:r w:rsidRPr="00715401">
        <w:rPr>
          <w:rFonts w:ascii="Arial" w:hAnsi="Arial" w:cs="Arial"/>
          <w:sz w:val="22"/>
        </w:rPr>
        <w:t>​</w:t>
      </w:r>
      <w:r w:rsidRPr="00715401">
        <w:rPr>
          <w:rFonts w:ascii="Century Gothic" w:hAnsi="Century Gothic"/>
          <w:sz w:val="22"/>
        </w:rPr>
        <w:t>Con este análisis podemos concluir en que la soci</w:t>
      </w:r>
      <w:r w:rsidR="0062478F" w:rsidRPr="00715401">
        <w:rPr>
          <w:rFonts w:ascii="Century Gothic" w:hAnsi="Century Gothic"/>
          <w:sz w:val="22"/>
        </w:rPr>
        <w:t>edad presentada en IONE muestra</w:t>
      </w:r>
      <w:r w:rsidRPr="00715401">
        <w:rPr>
          <w:rFonts w:ascii="Century Gothic" w:hAnsi="Century Gothic"/>
          <w:sz w:val="22"/>
        </w:rPr>
        <w:t xml:space="preserve"> una marcada diferencia entre cl</w:t>
      </w:r>
      <w:r w:rsidR="0062478F" w:rsidRPr="00715401">
        <w:rPr>
          <w:rFonts w:ascii="Century Gothic" w:hAnsi="Century Gothic"/>
          <w:sz w:val="22"/>
        </w:rPr>
        <w:t xml:space="preserve">ases sociales, además de </w:t>
      </w:r>
      <w:r w:rsidRPr="00715401">
        <w:rPr>
          <w:rFonts w:ascii="Century Gothic" w:hAnsi="Century Gothic"/>
          <w:sz w:val="22"/>
        </w:rPr>
        <w:t>un marcado clasismo. El gobierno de esta ciudad es extremadamente autoritario y está marcado por la corrupción, si bien es</w:t>
      </w:r>
      <w:r w:rsidR="0062478F" w:rsidRPr="00715401">
        <w:rPr>
          <w:rFonts w:ascii="Century Gothic" w:hAnsi="Century Gothic"/>
          <w:sz w:val="22"/>
        </w:rPr>
        <w:t>t</w:t>
      </w:r>
      <w:r w:rsidRPr="00715401">
        <w:rPr>
          <w:rFonts w:ascii="Century Gothic" w:hAnsi="Century Gothic"/>
          <w:sz w:val="22"/>
        </w:rPr>
        <w:t>a ciudad cuenta con una organización social, esta solo termina beneficiando a un grupo y perjudica a otros, tal como ocurre en el mundo real, siendo una gran forma en el que el autor retrata esta realidad en un mundo ficticio y ayudándonos a reflexionar sobre las personas que elegimos para que nos dirijan y el cómo esto afecta a nuestra sociedad.</w:t>
      </w:r>
    </w:p>
    <w:p w14:paraId="664B15CE" w14:textId="77777777" w:rsidR="00BD3CC2" w:rsidRPr="00715401" w:rsidRDefault="00BD3CC2" w:rsidP="00715401">
      <w:pPr>
        <w:spacing w:line="360" w:lineRule="auto"/>
        <w:jc w:val="both"/>
        <w:rPr>
          <w:rFonts w:ascii="Century Gothic" w:hAnsi="Century Gothic"/>
          <w:sz w:val="22"/>
        </w:rPr>
      </w:pPr>
    </w:p>
    <w:sectPr w:rsidR="00BD3CC2" w:rsidRPr="00715401" w:rsidSect="00715401">
      <w:headerReference w:type="default" r:id="rId7"/>
      <w:footerReference w:type="default" r:id="rId8"/>
      <w:pgSz w:w="11906" w:h="16838" w:code="9"/>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454A2A" w14:textId="77777777" w:rsidR="00A95F10" w:rsidRDefault="00A95F10" w:rsidP="00E52F66">
      <w:pPr>
        <w:spacing w:after="0" w:line="240" w:lineRule="auto"/>
      </w:pPr>
      <w:r>
        <w:separator/>
      </w:r>
    </w:p>
  </w:endnote>
  <w:endnote w:type="continuationSeparator" w:id="0">
    <w:p w14:paraId="62F36B96" w14:textId="77777777" w:rsidR="00A95F10" w:rsidRDefault="00A95F10" w:rsidP="00E52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2E8D60" w14:textId="27FB5C34" w:rsidR="00E52F66" w:rsidRPr="00E52F66" w:rsidRDefault="00E52F66">
    <w:pPr>
      <w:pStyle w:val="Piedepgina"/>
      <w:rPr>
        <w:rFonts w:ascii="Arial" w:hAnsi="Arial" w:cs="Arial"/>
        <w:sz w:val="22"/>
      </w:rPr>
    </w:pPr>
    <w:r w:rsidRPr="00E52F66">
      <w:rPr>
        <w:rFonts w:ascii="Arial" w:hAnsi="Arial" w:cs="Arial"/>
        <w:sz w:val="22"/>
      </w:rPr>
      <w:t>Giovanna lauro y Helen Segovia</w:t>
    </w:r>
  </w:p>
  <w:p w14:paraId="776C7EAD" w14:textId="77777777" w:rsidR="00E52F66" w:rsidRDefault="00E52F6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2CAF0" w14:textId="77777777" w:rsidR="00A95F10" w:rsidRDefault="00A95F10" w:rsidP="00E52F66">
      <w:pPr>
        <w:spacing w:after="0" w:line="240" w:lineRule="auto"/>
      </w:pPr>
      <w:r>
        <w:separator/>
      </w:r>
    </w:p>
  </w:footnote>
  <w:footnote w:type="continuationSeparator" w:id="0">
    <w:p w14:paraId="5F30694C" w14:textId="77777777" w:rsidR="00A95F10" w:rsidRDefault="00A95F10" w:rsidP="00E52F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57730" w14:textId="6278A9C8" w:rsidR="00E52F66" w:rsidRPr="00E52F66" w:rsidRDefault="00E52F66">
    <w:pPr>
      <w:pStyle w:val="Encabezado"/>
      <w:rPr>
        <w:rFonts w:ascii="Arial" w:hAnsi="Arial" w:cs="Arial"/>
        <w:sz w:val="22"/>
      </w:rPr>
    </w:pPr>
    <w:r w:rsidRPr="00E52F66">
      <w:rPr>
        <w:rFonts w:ascii="Arial" w:hAnsi="Arial" w:cs="Arial"/>
        <w:sz w:val="22"/>
      </w:rPr>
      <w:t>Análisis sociológico</w:t>
    </w:r>
  </w:p>
  <w:p w14:paraId="28D249FC" w14:textId="77777777" w:rsidR="00E52F66" w:rsidRPr="00E52F66" w:rsidRDefault="00E52F66">
    <w:pPr>
      <w:pStyle w:val="Encabezado"/>
      <w:rPr>
        <w:sz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CC2"/>
    <w:rsid w:val="0062478F"/>
    <w:rsid w:val="00715401"/>
    <w:rsid w:val="00A95F10"/>
    <w:rsid w:val="00BD3CC2"/>
    <w:rsid w:val="00E077F1"/>
    <w:rsid w:val="00E52F6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2D2D1"/>
  <w15:chartTrackingRefBased/>
  <w15:docId w15:val="{B97BF6CA-5773-EE48-849A-26582B8EC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D3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D3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D3C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3C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3C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3C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C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C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C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C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D3C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3C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3C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3C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3C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3C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3C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3CC2"/>
    <w:rPr>
      <w:rFonts w:eastAsiaTheme="majorEastAsia" w:cstheme="majorBidi"/>
      <w:color w:val="272727" w:themeColor="text1" w:themeTint="D8"/>
    </w:rPr>
  </w:style>
  <w:style w:type="paragraph" w:styleId="Ttulo">
    <w:name w:val="Title"/>
    <w:basedOn w:val="Normal"/>
    <w:next w:val="Normal"/>
    <w:link w:val="TtuloCar"/>
    <w:uiPriority w:val="10"/>
    <w:qFormat/>
    <w:rsid w:val="00BD3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C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3C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C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3CC2"/>
    <w:pPr>
      <w:spacing w:before="160"/>
      <w:jc w:val="center"/>
    </w:pPr>
    <w:rPr>
      <w:i/>
      <w:iCs/>
      <w:color w:val="404040" w:themeColor="text1" w:themeTint="BF"/>
    </w:rPr>
  </w:style>
  <w:style w:type="character" w:customStyle="1" w:styleId="CitaCar">
    <w:name w:val="Cita Car"/>
    <w:basedOn w:val="Fuentedeprrafopredeter"/>
    <w:link w:val="Cita"/>
    <w:uiPriority w:val="29"/>
    <w:rsid w:val="00BD3CC2"/>
    <w:rPr>
      <w:i/>
      <w:iCs/>
      <w:color w:val="404040" w:themeColor="text1" w:themeTint="BF"/>
    </w:rPr>
  </w:style>
  <w:style w:type="paragraph" w:styleId="Prrafodelista">
    <w:name w:val="List Paragraph"/>
    <w:basedOn w:val="Normal"/>
    <w:uiPriority w:val="34"/>
    <w:qFormat/>
    <w:rsid w:val="00BD3CC2"/>
    <w:pPr>
      <w:ind w:left="720"/>
      <w:contextualSpacing/>
    </w:pPr>
  </w:style>
  <w:style w:type="character" w:styleId="nfasisintenso">
    <w:name w:val="Intense Emphasis"/>
    <w:basedOn w:val="Fuentedeprrafopredeter"/>
    <w:uiPriority w:val="21"/>
    <w:qFormat/>
    <w:rsid w:val="00BD3CC2"/>
    <w:rPr>
      <w:i/>
      <w:iCs/>
      <w:color w:val="0F4761" w:themeColor="accent1" w:themeShade="BF"/>
    </w:rPr>
  </w:style>
  <w:style w:type="paragraph" w:styleId="Citadestacada">
    <w:name w:val="Intense Quote"/>
    <w:basedOn w:val="Normal"/>
    <w:next w:val="Normal"/>
    <w:link w:val="CitadestacadaCar"/>
    <w:uiPriority w:val="30"/>
    <w:qFormat/>
    <w:rsid w:val="00BD3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3CC2"/>
    <w:rPr>
      <w:i/>
      <w:iCs/>
      <w:color w:val="0F4761" w:themeColor="accent1" w:themeShade="BF"/>
    </w:rPr>
  </w:style>
  <w:style w:type="character" w:styleId="Referenciaintensa">
    <w:name w:val="Intense Reference"/>
    <w:basedOn w:val="Fuentedeprrafopredeter"/>
    <w:uiPriority w:val="32"/>
    <w:qFormat/>
    <w:rsid w:val="00BD3CC2"/>
    <w:rPr>
      <w:b/>
      <w:bCs/>
      <w:smallCaps/>
      <w:color w:val="0F4761" w:themeColor="accent1" w:themeShade="BF"/>
      <w:spacing w:val="5"/>
    </w:rPr>
  </w:style>
  <w:style w:type="paragraph" w:styleId="NormalWeb">
    <w:name w:val="Normal (Web)"/>
    <w:basedOn w:val="Normal"/>
    <w:uiPriority w:val="99"/>
    <w:unhideWhenUsed/>
    <w:rsid w:val="00BD3CC2"/>
    <w:pPr>
      <w:spacing w:before="100" w:beforeAutospacing="1" w:after="100" w:afterAutospacing="1" w:line="240" w:lineRule="auto"/>
    </w:pPr>
    <w:rPr>
      <w:rFonts w:ascii="Times New Roman" w:hAnsi="Times New Roman" w:cs="Times New Roman"/>
      <w:kern w:val="0"/>
      <w14:ligatures w14:val="none"/>
    </w:rPr>
  </w:style>
  <w:style w:type="paragraph" w:styleId="Encabezado">
    <w:name w:val="header"/>
    <w:basedOn w:val="Normal"/>
    <w:link w:val="EncabezadoCar"/>
    <w:uiPriority w:val="99"/>
    <w:unhideWhenUsed/>
    <w:rsid w:val="00E52F6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52F66"/>
  </w:style>
  <w:style w:type="paragraph" w:styleId="Piedepgina">
    <w:name w:val="footer"/>
    <w:basedOn w:val="Normal"/>
    <w:link w:val="PiedepginaCar"/>
    <w:uiPriority w:val="99"/>
    <w:unhideWhenUsed/>
    <w:rsid w:val="00E52F6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52F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0A88D-77FA-4C75-97AF-7B621AE8B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751</Words>
  <Characters>4136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Lauro</dc:creator>
  <cp:keywords/>
  <dc:description/>
  <cp:lastModifiedBy>Marcos Alexander Molinas Olmedo</cp:lastModifiedBy>
  <cp:revision>2</cp:revision>
  <dcterms:created xsi:type="dcterms:W3CDTF">2026-08-04T14:38:00Z</dcterms:created>
  <dcterms:modified xsi:type="dcterms:W3CDTF">2026-08-04T14:38:00Z</dcterms:modified>
</cp:coreProperties>
</file>