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B3A6B"/>
          <w:sz w:val="28"/>
          <w:szCs w:val="28"/>
        </w:rPr>
        <w:t xml:space="preserve">CHORUS AI SYSTEMS</w:t>
      </w:r>
    </w:p>
    <w:p>
      <w:pPr>
        <w:spacing w:after="200" w:before="0"/>
        <w:jc w:val="center"/>
      </w:pPr>
      <w:r>
        <w:rPr>
          <w:rFonts w:ascii="Arial" w:cs="Arial" w:eastAsia="Arial" w:hAnsi="Arial"/>
          <w:b w:val="false"/>
          <w:bCs w:val="false"/>
          <w:i/>
          <w:iCs/>
          <w:color w:val="666666"/>
          <w:sz w:val="22"/>
          <w:szCs w:val="22"/>
        </w:rPr>
        <w:t xml:space="preserve">The Earnings Call Brief</w:t>
      </w:r>
    </w:p>
    <w:p>
      <w:pPr>
        <w:spacing w:after="60" w:before="0"/>
        <w:jc w:val="center"/>
      </w:pPr>
      <w:r>
        <w:rPr>
          <w:rFonts w:ascii="Arial" w:cs="Arial" w:eastAsia="Arial" w:hAnsi="Arial"/>
          <w:b/>
          <w:bCs/>
          <w:i w:val="false"/>
          <w:iCs w:val="false"/>
          <w:color w:val="1B3A6B"/>
          <w:sz w:val="36"/>
          <w:szCs w:val="36"/>
        </w:rPr>
        <w:t xml:space="preserve">MICROSOFT CORPORATION</w:t>
      </w:r>
    </w:p>
    <w:p>
      <w:pPr>
        <w:spacing w:after="240" w:before="0"/>
        <w:jc w:val="center"/>
      </w:pPr>
      <w:r>
        <w:rPr>
          <w:rFonts w:ascii="Arial" w:cs="Arial" w:eastAsia="Arial" w:hAnsi="Arial"/>
          <w:b w:val="false"/>
          <w:bCs w:val="false"/>
          <w:i w:val="false"/>
          <w:iCs w:val="false"/>
          <w:color w:val="666666"/>
          <w:sz w:val="22"/>
          <w:szCs w:val="22"/>
        </w:rPr>
        <w:t xml:space="preserve">MSFT (NASDAQ)</w:t>
      </w:r>
      <w:r>
        <w:rPr>
          <w:rFonts w:ascii="Arial" w:cs="Arial" w:eastAsia="Arial" w:hAnsi="Arial"/>
          <w:b w:val="false"/>
          <w:bCs w:val="false"/>
          <w:i w:val="false"/>
          <w:iCs w:val="false"/>
          <w:color w:val="666666"/>
          <w:sz w:val="22"/>
          <w:szCs w:val="22"/>
        </w:rPr>
        <w:t xml:space="preserve">   |   </w:t>
      </w:r>
      <w:r>
        <w:rPr>
          <w:rFonts w:ascii="Arial" w:cs="Arial" w:eastAsia="Arial" w:hAnsi="Arial"/>
          <w:b w:val="false"/>
          <w:bCs w:val="false"/>
          <w:i w:val="false"/>
          <w:iCs w:val="false"/>
          <w:color w:val="666666"/>
          <w:sz w:val="22"/>
          <w:szCs w:val="22"/>
        </w:rPr>
        <w:t xml:space="preserve">Q2 FY2026 Earnings Call</w:t>
      </w:r>
    </w:p>
    <w:p>
      <w:pPr>
        <w:pBdr>
          <w:bottom w:val="single" w:color="D0D8E4" w:sz="6" w:space="1"/>
        </w:pBdr>
        <w:spacing w:after="60" w:before="60"/>
      </w:pPr>
      <w:r>
        <w:t xml:space="preserve"/>
      </w:r>
    </w:p>
    <w:p>
      <w:pPr>
        <w:spacing w:after="0" w:before="0"/>
      </w:pPr>
      <w:r>
        <w:rPr>
          <w:sz w:val="16"/>
          <w:szCs w:val="16"/>
        </w:rPr>
        <w:t xml:space="preserve"/>
      </w:r>
    </w:p>
    <w:p>
      <w:pPr>
        <w:spacing w:after="160" w:before="0"/>
        <w:jc w:val="left"/>
      </w:pPr>
      <w:r>
        <w:rPr>
          <w:rFonts w:ascii="Arial" w:cs="Arial" w:eastAsia="Arial" w:hAnsi="Arial"/>
          <w:b/>
          <w:bCs/>
          <w:i w:val="false"/>
          <w:iCs w:val="false"/>
          <w:color w:val="1B3A6B"/>
          <w:sz w:val="28"/>
          <w:szCs w:val="28"/>
        </w:rPr>
        <w:t xml:space="preserve">1. The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iCs/>
                <w:color w:val="666666"/>
                <w:sz w:val="20"/>
                <w:szCs w:val="20"/>
              </w:rPr>
              <w:t xml:space="preserve">AI-Verified Intelligence Report  </w:t>
            </w:r>
            <w:r>
              <w:rPr>
                <w:rFonts w:ascii="Arial" w:cs="Arial" w:eastAsia="Arial" w:hAnsi="Arial"/>
                <w:b w:val="false"/>
                <w:bCs w:val="false"/>
                <w:i/>
                <w:iCs/>
                <w:color w:val="666666"/>
                <w:sz w:val="20"/>
                <w:szCs w:val="20"/>
              </w:rPr>
              <w:t xml:space="preserve">Source Grounding: 97%  |  Contradictions: 0  |  Model Agreement: Partial</w:t>
            </w:r>
          </w:p>
        </w:tc>
      </w:tr>
    </w:tbl>
    <w:p>
      <w:pPr>
        <w:spacing w:after="0" w:before="0"/>
      </w:pPr>
      <w:r>
        <w:rPr>
          <w:sz w:val="20"/>
          <w:szCs w:val="20"/>
        </w:rPr>
        <w:t xml:space="preserve"/>
      </w:r>
    </w:p>
    <w:p>
      <w:pPr>
        <w:spacing w:after="80" w:before="0"/>
        <w:jc w:val="left"/>
      </w:pPr>
      <w:r>
        <w:rPr>
          <w:rFonts w:ascii="Arial" w:cs="Arial" w:eastAsia="Arial" w:hAnsi="Arial"/>
          <w:b/>
          <w:bCs/>
          <w:i w:val="false"/>
          <w:iCs w:val="false"/>
          <w:color w:val="1B3A6B"/>
          <w:sz w:val="22"/>
          <w:szCs w:val="22"/>
        </w:rPr>
        <w:t xml:space="preserve">Key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FFFFFF"/>
                <w:sz w:val="20"/>
                <w:szCs w:val="20"/>
              </w:rPr>
              <w:t xml:space="preserve">Metric</w:t>
            </w:r>
          </w:p>
        </w:tc>
        <w:tc>
          <w:tcPr>
            <w:tcW w:type="dxa" w:w="180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FFFFFF"/>
                <w:sz w:val="20"/>
                <w:szCs w:val="20"/>
              </w:rPr>
              <w:t xml:space="preserve">Reported</w:t>
            </w:r>
          </w:p>
        </w:tc>
        <w:tc>
          <w:tcPr>
            <w:tcW w:type="dxa" w:w="180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FFFFFF"/>
                <w:sz w:val="20"/>
                <w:szCs w:val="20"/>
              </w:rPr>
              <w:t xml:space="preserve">YoY Change</w:t>
            </w:r>
          </w:p>
        </w:tc>
        <w:tc>
          <w:tcPr>
            <w:tcW w:type="dxa" w:w="180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FFFFFF"/>
                <w:sz w:val="20"/>
                <w:szCs w:val="20"/>
              </w:rPr>
              <w:t xml:space="preserve">vs. Estimate</w:t>
            </w:r>
          </w:p>
        </w:tc>
        <w:tc>
          <w:tcPr>
            <w:tcW w:type="dxa" w:w="156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FFFFFF"/>
                <w:sz w:val="20"/>
                <w:szCs w:val="20"/>
              </w:rPr>
              <w:t xml:space="preserve"/>
            </w:r>
          </w:p>
        </w:tc>
      </w:tr>
      <w:tr>
        <w:tc>
          <w:tcPr>
            <w:tcW w:type="dxa" w:w="24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Revenue</w:t>
            </w:r>
          </w:p>
        </w:tc>
        <w:tc>
          <w:tcPr>
            <w:tcW w:type="dxa" w:w="18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$69.6B</w:t>
            </w:r>
          </w:p>
        </w:tc>
        <w:tc>
          <w:tcPr>
            <w:tcW w:type="dxa" w:w="18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+16%</w:t>
            </w:r>
          </w:p>
        </w:tc>
        <w:tc>
          <w:tcPr>
            <w:tcW w:type="dxa" w:w="18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Beat (+2.1%)</w:t>
            </w:r>
          </w:p>
        </w:tc>
        <w:tc>
          <w:tcPr>
            <w:tcW w:type="dxa" w:w="156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
            </w:r>
          </w:p>
        </w:tc>
      </w:tr>
      <w:tr>
        <w:tc>
          <w:tcPr>
            <w:tcW w:type="dxa" w:w="24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Net Income</w:t>
            </w:r>
          </w:p>
        </w:tc>
        <w:tc>
          <w:tcPr>
            <w:tcW w:type="dxa" w:w="18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$24.1B</w:t>
            </w:r>
          </w:p>
        </w:tc>
        <w:tc>
          <w:tcPr>
            <w:tcW w:type="dxa" w:w="18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+10%</w:t>
            </w:r>
          </w:p>
        </w:tc>
        <w:tc>
          <w:tcPr>
            <w:tcW w:type="dxa" w:w="18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Beat (+0.8%)</w:t>
            </w:r>
          </w:p>
        </w:tc>
        <w:tc>
          <w:tcPr>
            <w:tcW w:type="dxa" w:w="156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
            </w:r>
          </w:p>
        </w:tc>
      </w:tr>
      <w:tr>
        <w:tc>
          <w:tcPr>
            <w:tcW w:type="dxa" w:w="24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EPS (Diluted)</w:t>
            </w:r>
          </w:p>
        </w:tc>
        <w:tc>
          <w:tcPr>
            <w:tcW w:type="dxa" w:w="18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$3.23</w:t>
            </w:r>
          </w:p>
        </w:tc>
        <w:tc>
          <w:tcPr>
            <w:tcW w:type="dxa" w:w="18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+11%</w:t>
            </w:r>
          </w:p>
        </w:tc>
        <w:tc>
          <w:tcPr>
            <w:tcW w:type="dxa" w:w="18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Beat (+1.2%)</w:t>
            </w:r>
          </w:p>
        </w:tc>
        <w:tc>
          <w:tcPr>
            <w:tcW w:type="dxa" w:w="156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
            </w:r>
          </w:p>
        </w:tc>
      </w:tr>
      <w:tr>
        <w:tc>
          <w:tcPr>
            <w:tcW w:type="dxa" w:w="24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Operating Margin</w:t>
            </w:r>
          </w:p>
        </w:tc>
        <w:tc>
          <w:tcPr>
            <w:tcW w:type="dxa" w:w="18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42.8%</w:t>
            </w:r>
          </w:p>
        </w:tc>
        <w:tc>
          <w:tcPr>
            <w:tcW w:type="dxa" w:w="18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-180bps</w:t>
            </w:r>
          </w:p>
        </w:tc>
        <w:tc>
          <w:tcPr>
            <w:tcW w:type="dxa" w:w="18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Miss (-90bps)</w:t>
            </w:r>
          </w:p>
        </w:tc>
        <w:tc>
          <w:tcPr>
            <w:tcW w:type="dxa" w:w="156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
            </w:r>
          </w:p>
        </w:tc>
      </w:tr>
      <w:tr>
        <w:tc>
          <w:tcPr>
            <w:tcW w:type="dxa" w:w="24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Free Cash Flow</w:t>
            </w:r>
          </w:p>
        </w:tc>
        <w:tc>
          <w:tcPr>
            <w:tcW w:type="dxa" w:w="18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$18.3B</w:t>
            </w:r>
          </w:p>
        </w:tc>
        <w:tc>
          <w:tcPr>
            <w:tcW w:type="dxa" w:w="18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+8%</w:t>
            </w:r>
          </w:p>
        </w:tc>
        <w:tc>
          <w:tcPr>
            <w:tcW w:type="dxa" w:w="18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w:t>
            </w:r>
          </w:p>
        </w:tc>
        <w:tc>
          <w:tcPr>
            <w:tcW w:type="dxa" w:w="156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iCs/>
                <w:color w:val="1B3A6B"/>
                <w:sz w:val="22"/>
                <w:szCs w:val="22"/>
              </w:rPr>
              <w:t xml:space="preserve">Microsoft delivered strong top-line growth driven by accelerating Azure demand, but operating margins compressed for the second consecutive quarter as AI infrastructure investment outpaced the near-term revenue it is generating.</w:t>
            </w:r>
          </w:p>
        </w:tc>
      </w:tr>
    </w:tbl>
    <w:p>
      <w:pPr>
        <w:spacing w:after="0" w:before="0"/>
      </w:pPr>
      <w:r>
        <w:rPr>
          <w:sz w:val="24"/>
          <w:szCs w:val="24"/>
        </w:rPr>
        <w:t xml:space="preserve"/>
      </w:r>
    </w:p>
    <w:p>
      <w:pPr>
        <w:spacing w:after="80" w:before="0"/>
        <w:jc w:val="left"/>
      </w:pPr>
      <w:r>
        <w:rPr>
          <w:rFonts w:ascii="Arial" w:cs="Arial" w:eastAsia="Arial" w:hAnsi="Arial"/>
          <w:b/>
          <w:bCs/>
          <w:i w:val="false"/>
          <w:iCs w:val="false"/>
          <w:color w:val="1B3A6B"/>
          <w:sz w:val="22"/>
          <w:szCs w:val="22"/>
        </w:rPr>
        <w:t xml:space="preserve">Three Key Takeaways</w:t>
      </w:r>
    </w:p>
    <w:p>
      <w:pPr>
        <w:spacing w:after="80" w:before="60"/>
        <w:jc w:val="left"/>
      </w:pPr>
      <w:r>
        <w:rPr>
          <w:rFonts w:ascii="Arial" w:cs="Arial" w:eastAsia="Arial" w:hAnsi="Arial"/>
          <w:b/>
          <w:bCs/>
          <w:i w:val="false"/>
          <w:iCs w:val="false"/>
          <w:color w:val="1B3A6B"/>
          <w:sz w:val="22"/>
          <w:szCs w:val="22"/>
        </w:rPr>
        <w:t xml:space="preserve">1.  </w:t>
      </w:r>
      <w:r>
        <w:rPr>
          <w:rFonts w:ascii="Arial" w:cs="Arial" w:eastAsia="Arial" w:hAnsi="Arial"/>
          <w:b w:val="false"/>
          <w:bCs w:val="false"/>
          <w:i w:val="false"/>
          <w:iCs w:val="false"/>
          <w:color w:val="333333"/>
          <w:sz w:val="22"/>
          <w:szCs w:val="22"/>
        </w:rPr>
        <w:t xml:space="preserve">Azure revenue grew 38% in constant currency, its fastest rate in six quarters, with AI services now contributing roughly one-third of that growth.</w:t>
      </w:r>
    </w:p>
    <w:p>
      <w:pPr>
        <w:spacing w:after="80" w:before="60"/>
        <w:jc w:val="left"/>
      </w:pPr>
      <w:r>
        <w:rPr>
          <w:rFonts w:ascii="Arial" w:cs="Arial" w:eastAsia="Arial" w:hAnsi="Arial"/>
          <w:b/>
          <w:bCs/>
          <w:i w:val="false"/>
          <w:iCs w:val="false"/>
          <w:color w:val="1B3A6B"/>
          <w:sz w:val="22"/>
          <w:szCs w:val="22"/>
        </w:rPr>
        <w:t xml:space="preserve">2.  </w:t>
      </w:r>
      <w:r>
        <w:rPr>
          <w:rFonts w:ascii="Arial" w:cs="Arial" w:eastAsia="Arial" w:hAnsi="Arial"/>
          <w:b w:val="false"/>
          <w:bCs w:val="false"/>
          <w:i w:val="false"/>
          <w:iCs w:val="false"/>
          <w:color w:val="333333"/>
          <w:sz w:val="22"/>
          <w:szCs w:val="22"/>
        </w:rPr>
        <w:t xml:space="preserve">Capital expenditure reached $16.8 billion in the quarter, a 72% year-over-year increase almost entirely attributable to data center buildout.</w:t>
      </w:r>
    </w:p>
    <w:p>
      <w:pPr>
        <w:spacing w:after="80" w:before="60"/>
        <w:jc w:val="left"/>
      </w:pPr>
      <w:r>
        <w:rPr>
          <w:rFonts w:ascii="Arial" w:cs="Arial" w:eastAsia="Arial" w:hAnsi="Arial"/>
          <w:b/>
          <w:bCs/>
          <w:i w:val="false"/>
          <w:iCs w:val="false"/>
          <w:color w:val="1B3A6B"/>
          <w:sz w:val="22"/>
          <w:szCs w:val="22"/>
        </w:rPr>
        <w:t xml:space="preserve">3.  </w:t>
      </w:r>
      <w:r>
        <w:rPr>
          <w:rFonts w:ascii="Arial" w:cs="Arial" w:eastAsia="Arial" w:hAnsi="Arial"/>
          <w:b w:val="false"/>
          <w:bCs w:val="false"/>
          <w:i w:val="false"/>
          <w:iCs w:val="false"/>
          <w:color w:val="333333"/>
          <w:sz w:val="22"/>
          <w:szCs w:val="22"/>
        </w:rPr>
        <w:t xml:space="preserve">Copilot adoption metrics were mentioned fifteen times in prepared remarks but management declined to provide revenue-specific figures.</w:t>
      </w:r>
    </w:p>
    <w:p>
      <w:pPr>
        <w:spacing w:after="0" w:before="0"/>
      </w:pPr>
      <w:r>
        <w:rPr>
          <w:sz w:val="16"/>
          <w:szCs w:val="16"/>
        </w:rPr>
        <w:t xml:space="preserve"/>
      </w:r>
    </w:p>
    <w:p>
      <w:pPr>
        <w:spacing w:after="80" w:before="0"/>
        <w:jc w:val="left"/>
      </w:pPr>
      <w:r>
        <w:rPr>
          <w:rFonts w:ascii="Arial" w:cs="Arial" w:eastAsia="Arial" w:hAnsi="Arial"/>
          <w:b/>
          <w:bCs/>
          <w:i w:val="false"/>
          <w:iCs w:val="false"/>
          <w:color w:val="1B3A6B"/>
          <w:sz w:val="22"/>
          <w:szCs w:val="22"/>
        </w:rPr>
        <w:t xml:space="preserve">Signals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D0D8E4" w:sz="1"/>
              <w:left w:val="single" w:color="D0D8E4" w:sz="1"/>
              <w:bottom w:val="single" w:color="D0D8E4" w:sz="1"/>
              <w:right w:val="single" w:color="D0D8E4" w:sz="1"/>
            </w:tcBorders>
            <w:shd w:fill="2E7D32"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FFFFFF"/>
                <w:sz w:val="20"/>
                <w:szCs w:val="20"/>
              </w:rPr>
              <w:t xml:space="preserve">✅  GREEN FLAGS</w:t>
            </w:r>
          </w:p>
        </w:tc>
        <w:tc>
          <w:tcPr>
            <w:tcW w:type="dxa" w:w="4680"/>
            <w:gridSpan w:val="1"/>
            <w:tcBorders>
              <w:top w:val="single" w:color="D0D8E4" w:sz="1"/>
              <w:left w:val="single" w:color="D0D8E4" w:sz="1"/>
              <w:bottom w:val="single" w:color="D0D8E4" w:sz="1"/>
              <w:right w:val="single" w:color="D0D8E4" w:sz="1"/>
            </w:tcBorders>
            <w:shd w:fill="C62828"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FFFFFF"/>
                <w:sz w:val="20"/>
                <w:szCs w:val="20"/>
              </w:rPr>
              <w:t xml:space="preserve">⚠️  RED FLAGS</w:t>
            </w:r>
          </w:p>
        </w:tc>
      </w:tr>
      <w:tr>
        <w:tc>
          <w:tcPr>
            <w:tcW w:type="dxa" w:w="4680"/>
            <w:gridSpan w:val="1"/>
            <w:tcBorders>
              <w:top w:val="single" w:color="D0D8E4" w:sz="1"/>
              <w:left w:val="single" w:color="D0D8E4" w:sz="1"/>
              <w:bottom w:val="single" w:color="D0D8E4" w:sz="1"/>
              <w:right w:val="single" w:color="D0D8E4" w:sz="1"/>
            </w:tcBorders>
            <w:shd w:fill="F1F8E9"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Azure growth accelerated to 38%, beating consensus by ~$400M.</w:t>
            </w:r>
          </w:p>
        </w:tc>
        <w:tc>
          <w:tcPr>
            <w:tcW w:type="dxa" w:w="4680"/>
            <w:gridSpan w:val="1"/>
            <w:tcBorders>
              <w:top w:val="single" w:color="D0D8E4" w:sz="1"/>
              <w:left w:val="single" w:color="D0D8E4" w:sz="1"/>
              <w:bottom w:val="single" w:color="D0D8E4" w:sz="1"/>
              <w:right w:val="single" w:color="D0D8E4" w:sz="1"/>
            </w:tcBorders>
            <w:shd w:fill="FFF3E0"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Operating margin compressed for second straight quarter; no timeline for stabilization provided.</w:t>
            </w:r>
          </w:p>
        </w:tc>
      </w:tr>
      <w:tr>
        <w:tc>
          <w:tcPr>
            <w:tcW w:type="dxa" w:w="468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86% of revenue from recurring sources; growth was organic.</w:t>
            </w:r>
          </w:p>
        </w:tc>
        <w:tc>
          <w:tcPr>
            <w:tcW w:type="dxa" w:w="468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Promised Copilot revenue disclosure was not delivered; management redirected three direct analyst questions.</w:t>
            </w:r>
          </w:p>
        </w:tc>
      </w:tr>
      <w:tr>
        <w:tc>
          <w:tcPr>
            <w:tcW w:type="dxa" w:w="4680"/>
            <w:gridSpan w:val="1"/>
            <w:tcBorders>
              <w:top w:val="single" w:color="D0D8E4" w:sz="1"/>
              <w:left w:val="single" w:color="D0D8E4" w:sz="1"/>
              <w:bottom w:val="single" w:color="D0D8E4" w:sz="1"/>
              <w:right w:val="single" w:color="D0D8E4" w:sz="1"/>
            </w:tcBorders>
            <w:shd w:fill="F1F8E9"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Q3 revenue guidance of $70.5–$71.5B exceeded consensus.</w:t>
            </w:r>
          </w:p>
        </w:tc>
        <w:tc>
          <w:tcPr>
            <w:tcW w:type="dxa" w:w="4680"/>
            <w:gridSpan w:val="1"/>
            <w:tcBorders>
              <w:top w:val="single" w:color="D0D8E4" w:sz="1"/>
              <w:left w:val="single" w:color="D0D8E4" w:sz="1"/>
              <w:bottom w:val="single" w:color="D0D8E4" w:sz="1"/>
              <w:right w:val="single" w:color="D0D8E4" w:sz="1"/>
            </w:tcBorders>
            <w:shd w:fill="FFF3E0"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~$1.2B of Azure growth came from one-time migration deals; underlying growth closer to 33%.</w:t>
            </w:r>
          </w:p>
        </w:tc>
      </w:tr>
      <w:tr>
        <w:tc>
          <w:tcPr>
            <w:tcW w:type="dxa" w:w="468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w:t>
            </w:r>
          </w:p>
        </w:tc>
        <w:tc>
          <w:tcPr>
            <w:tcW w:type="dxa" w:w="468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333333"/>
                <w:sz w:val="20"/>
                <w:szCs w:val="20"/>
              </w:rPr>
              <w:t xml:space="preserve">No competitive positioning commentary despite AWS and Google Cloud acceleration.</w:t>
            </w:r>
          </w:p>
        </w:tc>
      </w:tr>
    </w:tbl>
    <w:p>
      <w:pPr>
        <w:spacing w:after="0" w:before="0"/>
      </w:pPr>
      <w:r>
        <w:rPr>
          <w:sz w:val="24"/>
          <w:szCs w:val="24"/>
        </w:rPr>
        <w:t xml:space="preserve"/>
      </w:r>
    </w:p>
    <w:p>
      <w:pPr>
        <w:spacing w:after="80" w:before="0"/>
        <w:jc w:val="left"/>
      </w:pPr>
      <w:r>
        <w:rPr>
          <w:rFonts w:ascii="Arial" w:cs="Arial" w:eastAsia="Arial" w:hAnsi="Arial"/>
          <w:b/>
          <w:bCs/>
          <w:i w:val="false"/>
          <w:iCs w:val="false"/>
          <w:color w:val="1B3A6B"/>
          <w:sz w:val="22"/>
          <w:szCs w:val="22"/>
        </w:rPr>
        <w:t xml:space="preserve">Quarter-at-a-Glance</w:t>
      </w:r>
    </w:p>
    <w:p>
      <w:pPr>
        <w:spacing w:after="160" w:before="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810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3660"/>
      </w:tblGrid>
      <w:tr>
        <w:trPr>
          <w:tblHeader/>
        </w:trPr>
        <w:tc>
          <w:tcPr>
            <w:tcW w:type="dxa" w:w="240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FFFFFF"/>
                <w:sz w:val="20"/>
                <w:szCs w:val="20"/>
              </w:rPr>
              <w:t xml:space="preserve">Dimension</w:t>
            </w:r>
          </w:p>
        </w:tc>
        <w:tc>
          <w:tcPr>
            <w:tcW w:type="dxa" w:w="90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Score</w:t>
            </w:r>
          </w:p>
        </w:tc>
        <w:tc>
          <w:tcPr>
            <w:tcW w:type="dxa" w:w="90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Prior</w:t>
            </w:r>
          </w:p>
        </w:tc>
        <w:tc>
          <w:tcPr>
            <w:tcW w:type="dxa" w:w="90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Δ</w:t>
            </w:r>
          </w:p>
        </w:tc>
        <w:tc>
          <w:tcPr>
            <w:tcW w:type="dxa" w:w="366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FFFFFF"/>
                <w:sz w:val="20"/>
                <w:szCs w:val="20"/>
              </w:rPr>
              <w:t xml:space="preserve">Notes</w:t>
            </w:r>
          </w:p>
        </w:tc>
      </w:tr>
      <w:tr>
        <w:tc>
          <w:tcPr>
            <w:tcW w:type="dxa" w:w="24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Revenue Momentum</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0"/>
                <w:szCs w:val="20"/>
              </w:rPr>
              <w:t xml:space="preserve">8</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8</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w:t>
            </w:r>
          </w:p>
        </w:tc>
        <w:tc>
          <w:tcPr>
            <w:tcW w:type="dxa" w:w="366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iCs/>
                <w:color w:val="333333"/>
                <w:sz w:val="19"/>
                <w:szCs w:val="19"/>
              </w:rPr>
              <w:t xml:space="preserve">Growth rate accelerated from 13% to 16% YoY; Azure jumped from 33% to 38%.</w:t>
            </w:r>
          </w:p>
        </w:tc>
      </w:tr>
      <w:tr>
        <w:tc>
          <w:tcPr>
            <w:tcW w:type="dxa" w:w="24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Margin Health</w:t>
            </w:r>
          </w:p>
        </w:tc>
        <w:tc>
          <w:tcPr>
            <w:tcW w:type="dxa" w:w="9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0"/>
                <w:szCs w:val="20"/>
              </w:rPr>
              <w:t xml:space="preserve">6</w:t>
            </w:r>
          </w:p>
        </w:tc>
        <w:tc>
          <w:tcPr>
            <w:tcW w:type="dxa" w:w="9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6</w:t>
            </w:r>
          </w:p>
        </w:tc>
        <w:tc>
          <w:tcPr>
            <w:tcW w:type="dxa" w:w="9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w:t>
            </w:r>
          </w:p>
        </w:tc>
        <w:tc>
          <w:tcPr>
            <w:tcW w:type="dxa" w:w="366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iCs/>
                <w:color w:val="333333"/>
                <w:sz w:val="19"/>
                <w:szCs w:val="19"/>
              </w:rPr>
              <w:t xml:space="preserve">Second consecutive quarter of margin compression; CapEx-to-revenue hit a decade high of 24%.</w:t>
            </w:r>
          </w:p>
        </w:tc>
      </w:tr>
      <w:tr>
        <w:tc>
          <w:tcPr>
            <w:tcW w:type="dxa" w:w="24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Guidance Confidence</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0"/>
                <w:szCs w:val="20"/>
              </w:rPr>
              <w:t xml:space="preserve">7</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7</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w:t>
            </w:r>
          </w:p>
        </w:tc>
        <w:tc>
          <w:tcPr>
            <w:tcW w:type="dxa" w:w="366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iCs/>
                <w:color w:val="333333"/>
                <w:sz w:val="19"/>
                <w:szCs w:val="19"/>
              </w:rPr>
              <w:t xml:space="preserve">Strong top-line guidance but no margin or segment-level targets provided.</w:t>
            </w:r>
          </w:p>
        </w:tc>
      </w:tr>
      <w:tr>
        <w:tc>
          <w:tcPr>
            <w:tcW w:type="dxa" w:w="24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Mgmt Transparency</w:t>
            </w:r>
          </w:p>
        </w:tc>
        <w:tc>
          <w:tcPr>
            <w:tcW w:type="dxa" w:w="9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0"/>
                <w:szCs w:val="20"/>
              </w:rPr>
              <w:t xml:space="preserve">5</w:t>
            </w:r>
          </w:p>
        </w:tc>
        <w:tc>
          <w:tcPr>
            <w:tcW w:type="dxa" w:w="9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4</w:t>
            </w:r>
          </w:p>
        </w:tc>
        <w:tc>
          <w:tcPr>
            <w:tcW w:type="dxa" w:w="9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 +1</w:t>
            </w:r>
          </w:p>
        </w:tc>
        <w:tc>
          <w:tcPr>
            <w:tcW w:type="dxa" w:w="366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iCs/>
                <w:color w:val="333333"/>
                <w:sz w:val="19"/>
                <w:szCs w:val="19"/>
              </w:rPr>
              <w:t xml:space="preserve">Promised Copilot disclosure absent; three analyst questions redirected.</w:t>
            </w:r>
          </w:p>
        </w:tc>
      </w:tr>
      <w:tr>
        <w:tc>
          <w:tcPr>
            <w:tcW w:type="dxa" w:w="24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Strategic Clarity</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0"/>
                <w:szCs w:val="20"/>
              </w:rPr>
              <w:t xml:space="preserve">8</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8</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w:t>
            </w:r>
          </w:p>
        </w:tc>
        <w:tc>
          <w:tcPr>
            <w:tcW w:type="dxa" w:w="366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iCs/>
                <w:color w:val="333333"/>
                <w:sz w:val="19"/>
                <w:szCs w:val="19"/>
              </w:rPr>
              <w:t xml:space="preserve">Clearer articulation of AI investment thesis. Capital allocation priorities stated explicitly.</w:t>
            </w:r>
          </w:p>
        </w:tc>
      </w:tr>
      <w:tr>
        <w:tc>
          <w:tcPr>
            <w:tcW w:type="dxa" w:w="24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Earnings Quality</w:t>
            </w:r>
          </w:p>
        </w:tc>
        <w:tc>
          <w:tcPr>
            <w:tcW w:type="dxa" w:w="9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0"/>
                <w:szCs w:val="20"/>
              </w:rPr>
              <w:t xml:space="preserve">7</w:t>
            </w:r>
          </w:p>
        </w:tc>
        <w:tc>
          <w:tcPr>
            <w:tcW w:type="dxa" w:w="9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6</w:t>
            </w:r>
          </w:p>
        </w:tc>
        <w:tc>
          <w:tcPr>
            <w:tcW w:type="dxa" w:w="90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 +1</w:t>
            </w:r>
          </w:p>
        </w:tc>
        <w:tc>
          <w:tcPr>
            <w:tcW w:type="dxa" w:w="3660"/>
            <w:gridSpan w:val="1"/>
            <w:tcBorders>
              <w:top w:val="single" w:color="D0D8E4" w:sz="1"/>
              <w:left w:val="single" w:color="D0D8E4" w:sz="1"/>
              <w:bottom w:val="single" w:color="D0D8E4" w:sz="1"/>
              <w:right w:val="single" w:color="D0D8E4" w:sz="1"/>
            </w:tcBorders>
            <w:shd w:fill="F5F6F8"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iCs/>
                <w:color w:val="333333"/>
                <w:sz w:val="19"/>
                <w:szCs w:val="19"/>
              </w:rPr>
              <w:t xml:space="preserve">Recurring revenue mix strong at 86%, but $1.2B in one-time Azure migration deals introduced lumpiness.</w:t>
            </w:r>
          </w:p>
        </w:tc>
      </w:tr>
      <w:tr>
        <w:tc>
          <w:tcPr>
            <w:tcW w:type="dxa" w:w="24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bCs/>
                <w:i w:val="false"/>
                <w:iCs w:val="false"/>
                <w:color w:val="333333"/>
                <w:sz w:val="20"/>
                <w:szCs w:val="20"/>
              </w:rPr>
              <w:t xml:space="preserve">Forward Visibility</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0"/>
                <w:szCs w:val="20"/>
              </w:rPr>
              <w:t xml:space="preserve">6</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6</w:t>
            </w:r>
          </w:p>
        </w:tc>
        <w:tc>
          <w:tcPr>
            <w:tcW w:type="dxa" w:w="90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center"/>
            </w:pPr>
            <w:r>
              <w:rPr>
                <w:rFonts w:ascii="Arial" w:cs="Arial" w:eastAsia="Arial" w:hAnsi="Arial"/>
                <w:b w:val="false"/>
                <w:bCs w:val="false"/>
                <w:i w:val="false"/>
                <w:iCs w:val="false"/>
                <w:color w:val="333333"/>
                <w:sz w:val="20"/>
                <w:szCs w:val="20"/>
              </w:rPr>
              <w:t xml:space="preserve">—</w:t>
            </w:r>
          </w:p>
        </w:tc>
        <w:tc>
          <w:tcPr>
            <w:tcW w:type="dxa" w:w="3660"/>
            <w:gridSpan w:val="1"/>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iCs/>
                <w:color w:val="333333"/>
                <w:sz w:val="19"/>
                <w:szCs w:val="19"/>
              </w:rPr>
              <w:t xml:space="preserve">Fewer specific data points than Q1. No margin guidance, no CapEx timeline.</w:t>
            </w:r>
          </w:p>
        </w:tc>
      </w:tr>
    </w:tbl>
    <w:p>
      <w:pPr>
        <w:spacing w:after="0" w:before="0"/>
      </w:pPr>
      <w:r>
        <w:rPr>
          <w:sz w:val="24"/>
          <w:szCs w:val="24"/>
        </w:rPr>
        <w:t xml:space="preserve"/>
      </w:r>
    </w:p>
    <w:p>
      <w:pPr>
        <w:pBdr>
          <w:bottom w:val="single" w:color="D0D8E4" w:sz="6" w:space="1"/>
        </w:pBdr>
        <w:spacing w:after="60" w:before="60"/>
      </w:pPr>
      <w:r>
        <w:t xml:space="preserve"/>
      </w:r>
    </w:p>
    <w:p>
      <w:pPr>
        <w:spacing w:after="0" w:before="0"/>
      </w:pPr>
      <w:r>
        <w:rPr>
          <w:sz w:val="12"/>
          <w:szCs w:val="12"/>
        </w:rPr>
        <w:t xml:space="preserve"/>
      </w:r>
    </w:p>
    <w:p>
      <w:pPr>
        <w:spacing w:after="160" w:before="120"/>
        <w:jc w:val="left"/>
      </w:pPr>
      <w:r>
        <w:rPr>
          <w:rFonts w:ascii="Arial" w:cs="Arial" w:eastAsia="Arial" w:hAnsi="Arial"/>
          <w:b/>
          <w:bCs/>
          <w:i w:val="false"/>
          <w:iCs w:val="false"/>
          <w:color w:val="1B3A6B"/>
          <w:sz w:val="28"/>
          <w:szCs w:val="28"/>
        </w:rPr>
        <w:t xml:space="preserve">2. The Quarter in Context</w:t>
      </w:r>
    </w:p>
    <w:p>
      <w:pPr>
        <w:spacing w:after="80" w:before="160"/>
        <w:jc w:val="left"/>
      </w:pPr>
      <w:r>
        <w:rPr>
          <w:rFonts w:ascii="Arial" w:cs="Arial" w:eastAsia="Arial" w:hAnsi="Arial"/>
          <w:b/>
          <w:bCs/>
          <w:i w:val="false"/>
          <w:iCs w:val="false"/>
          <w:color w:val="1B3A6B"/>
          <w:sz w:val="24"/>
          <w:szCs w:val="24"/>
        </w:rPr>
        <w:t xml:space="preserve">What Drove the Results</w:t>
      </w:r>
    </w:p>
    <w:p>
      <w:pPr>
        <w:spacing w:after="160" w:before="0"/>
        <w:jc w:val="left"/>
      </w:pPr>
      <w:r>
        <w:rPr>
          <w:rFonts w:ascii="Arial" w:cs="Arial" w:eastAsia="Arial" w:hAnsi="Arial"/>
          <w:b w:val="false"/>
          <w:bCs w:val="false"/>
          <w:i w:val="false"/>
          <w:iCs w:val="false"/>
          <w:color w:val="333333"/>
          <w:sz w:val="22"/>
          <w:szCs w:val="22"/>
        </w:rPr>
        <w:t xml:space="preserve">Microsoft's second fiscal quarter was defined by a single tension: accelerating demand for its cloud and AI services against the cost of building the infrastructure to deliver them.</w:t>
      </w:r>
    </w:p>
    <w:p>
      <w:pPr>
        <w:spacing w:after="160" w:before="0"/>
        <w:jc w:val="left"/>
      </w:pPr>
      <w:r>
        <w:rPr>
          <w:rFonts w:ascii="Arial" w:cs="Arial" w:eastAsia="Arial" w:hAnsi="Arial"/>
          <w:b w:val="false"/>
          <w:bCs w:val="false"/>
          <w:i w:val="false"/>
          <w:iCs w:val="false"/>
          <w:color w:val="333333"/>
          <w:sz w:val="22"/>
          <w:szCs w:val="22"/>
        </w:rPr>
        <w:t xml:space="preserve">The Intelligent Cloud segment was the dominant growth engine, generating $26.4 billion in revenue — a 21% increase that beat analyst expectations by roughly $400 million. Within that segment, Azure remained the headline, growing 38% in constant currency.</w:t>
      </w:r>
    </w:p>
    <w:p>
      <w:pPr>
        <w:spacing w:after="80" w:before="160"/>
        <w:jc w:val="left"/>
      </w:pPr>
      <w:r>
        <w:rPr>
          <w:rFonts w:ascii="Arial" w:cs="Arial" w:eastAsia="Arial" w:hAnsi="Arial"/>
          <w:b/>
          <w:bCs/>
          <w:i w:val="false"/>
          <w:iCs w:val="false"/>
          <w:color w:val="1B3A6B"/>
          <w:sz w:val="24"/>
          <w:szCs w:val="24"/>
        </w:rPr>
        <w:t xml:space="preserve">The Margin Story</w:t>
      </w:r>
    </w:p>
    <w:p>
      <w:pPr>
        <w:spacing w:after="160" w:before="0"/>
        <w:jc w:val="left"/>
      </w:pPr>
      <w:r>
        <w:rPr>
          <w:rFonts w:ascii="Arial" w:cs="Arial" w:eastAsia="Arial" w:hAnsi="Arial"/>
          <w:b w:val="false"/>
          <w:bCs w:val="false"/>
          <w:i w:val="false"/>
          <w:iCs w:val="false"/>
          <w:color w:val="333333"/>
          <w:sz w:val="22"/>
          <w:szCs w:val="22"/>
        </w:rPr>
        <w:t xml:space="preserve">Operating margin declined to 42.8%, down from 44.6% a year earlier and the second consecutive quarter of compression. Capital expenditure reached $16.8 billion, a 72% year-over-year increase driven almost entirely by data center construction and GPU procurement.</w:t>
      </w:r>
    </w:p>
    <w:p>
      <w:pPr>
        <w:spacing w:after="80" w:before="160"/>
        <w:jc w:val="left"/>
      </w:pPr>
      <w:r>
        <w:rPr>
          <w:rFonts w:ascii="Arial" w:cs="Arial" w:eastAsia="Arial" w:hAnsi="Arial"/>
          <w:b/>
          <w:bCs/>
          <w:i w:val="false"/>
          <w:iCs w:val="false"/>
          <w:color w:val="1B3A6B"/>
          <w:sz w:val="24"/>
          <w:szCs w:val="24"/>
        </w:rPr>
        <w:t xml:space="preserve">Earnings Quality Assessment</w:t>
      </w:r>
    </w:p>
    <w:p>
      <w:pPr>
        <w:spacing w:after="160" w:before="0"/>
        <w:jc w:val="left"/>
      </w:pPr>
      <w:r>
        <w:rPr>
          <w:rFonts w:ascii="Arial" w:cs="Arial" w:eastAsia="Arial" w:hAnsi="Arial"/>
          <w:b w:val="false"/>
          <w:bCs w:val="false"/>
          <w:i w:val="false"/>
          <w:iCs w:val="false"/>
          <w:color w:val="333333"/>
          <w:sz w:val="22"/>
          <w:szCs w:val="22"/>
        </w:rPr>
        <w:t xml:space="preserve">Roughly 86% of Microsoft's total revenue came from recurring sources. The caveat is in Azure specifically: approximately $1.2 billion of the quarter's Azure revenue came from large-scale migration deals — one-time events that may not repeat at the same scale next quarter.</w:t>
      </w:r>
    </w:p>
    <w:p>
      <w:pPr>
        <w:spacing w:after="0" w:before="0"/>
      </w:pPr>
      <w:r>
        <w:rPr>
          <w:sz w:val="16"/>
          <w:szCs w:val="16"/>
        </w:rPr>
        <w:t xml:space="preserve"/>
      </w:r>
    </w:p>
    <w:p>
      <w:pPr>
        <w:pBdr>
          <w:bottom w:val="single" w:color="D0D8E4" w:sz="6" w:space="1"/>
        </w:pBdr>
        <w:spacing w:after="60" w:before="60"/>
      </w:pPr>
      <w:r>
        <w:t xml:space="preserve"/>
      </w:r>
    </w:p>
    <w:p>
      <w:pPr>
        <w:spacing w:after="0" w:before="0"/>
      </w:pPr>
      <w:r>
        <w:rPr>
          <w:sz w:val="12"/>
          <w:szCs w:val="12"/>
        </w:rPr>
        <w:t xml:space="preserve"/>
      </w:r>
    </w:p>
    <w:p>
      <w:pPr>
        <w:spacing w:after="160" w:before="120"/>
        <w:jc w:val="left"/>
      </w:pPr>
      <w:r>
        <w:rPr>
          <w:rFonts w:ascii="Arial" w:cs="Arial" w:eastAsia="Arial" w:hAnsi="Arial"/>
          <w:b/>
          <w:bCs/>
          <w:i w:val="false"/>
          <w:iCs w:val="false"/>
          <w:color w:val="1B3A6B"/>
          <w:sz w:val="28"/>
          <w:szCs w:val="28"/>
        </w:rPr>
        <w:t xml:space="preserve">3. What Management Is Signaling</w:t>
      </w:r>
    </w:p>
    <w:p>
      <w:pPr>
        <w:spacing w:after="80" w:before="160"/>
        <w:jc w:val="left"/>
      </w:pPr>
      <w:r>
        <w:rPr>
          <w:rFonts w:ascii="Arial" w:cs="Arial" w:eastAsia="Arial" w:hAnsi="Arial"/>
          <w:b/>
          <w:bCs/>
          <w:i w:val="false"/>
          <w:iCs w:val="false"/>
          <w:color w:val="1B3A6B"/>
          <w:sz w:val="24"/>
          <w:szCs w:val="24"/>
        </w:rPr>
        <w:t xml:space="preserve">The Investment Thesis</w:t>
      </w:r>
    </w:p>
    <w:p>
      <w:pPr>
        <w:spacing w:after="160" w:before="0"/>
        <w:jc w:val="left"/>
      </w:pPr>
      <w:r>
        <w:rPr>
          <w:rFonts w:ascii="Arial" w:cs="Arial" w:eastAsia="Arial" w:hAnsi="Arial"/>
          <w:b w:val="false"/>
          <w:bCs w:val="false"/>
          <w:i w:val="false"/>
          <w:iCs w:val="false"/>
          <w:color w:val="333333"/>
          <w:sz w:val="22"/>
          <w:szCs w:val="22"/>
        </w:rPr>
        <w:t xml:space="preserve">CEO Satya Nadella used some form of the word 'invest' or 'investment' twenty-three times during prepared remarks. The framing was consistent: current spending is creating the infrastructure layer that will generate returns over a multi-year horizon.</w:t>
      </w:r>
    </w:p>
    <w:p>
      <w:pPr>
        <w:spacing w:after="80" w:before="160"/>
        <w:jc w:val="left"/>
      </w:pPr>
      <w:r>
        <w:rPr>
          <w:rFonts w:ascii="Arial" w:cs="Arial" w:eastAsia="Arial" w:hAnsi="Arial"/>
          <w:b/>
          <w:bCs/>
          <w:i w:val="false"/>
          <w:iCs w:val="false"/>
          <w:color w:val="1B3A6B"/>
          <w:sz w:val="24"/>
          <w:szCs w:val="24"/>
        </w:rPr>
        <w:t xml:space="preserve">The Copilot Strategy</w:t>
      </w:r>
    </w:p>
    <w:p>
      <w:pPr>
        <w:spacing w:after="160" w:before="0"/>
        <w:jc w:val="left"/>
      </w:pPr>
      <w:r>
        <w:rPr>
          <w:rFonts w:ascii="Arial" w:cs="Arial" w:eastAsia="Arial" w:hAnsi="Arial"/>
          <w:b w:val="false"/>
          <w:bCs w:val="false"/>
          <w:i w:val="false"/>
          <w:iCs w:val="false"/>
          <w:color w:val="333333"/>
          <w:sz w:val="22"/>
          <w:szCs w:val="22"/>
        </w:rPr>
        <w:t xml:space="preserve">Management positioned Copilot as the company's primary AI distribution mechanism, emphasizing adoption breadth over revenue depth. The language consistently focused on seat count and daily active usage rather than revenue contribution.</w:t>
      </w:r>
    </w:p>
    <w:p>
      <w:pPr>
        <w:spacing w:after="0" w:before="0"/>
      </w:pPr>
      <w:r>
        <w:rPr>
          <w:sz w:val="16"/>
          <w:szCs w:val="16"/>
        </w:rPr>
        <w:t xml:space="preserve"/>
      </w:r>
    </w:p>
    <w:p>
      <w:pPr>
        <w:pBdr>
          <w:bottom w:val="single" w:color="D0D8E4" w:sz="6" w:space="1"/>
        </w:pBdr>
        <w:spacing w:after="60" w:before="60"/>
      </w:pPr>
      <w:r>
        <w:t xml:space="preserve"/>
      </w:r>
    </w:p>
    <w:p>
      <w:pPr>
        <w:spacing w:after="0" w:before="0"/>
      </w:pPr>
      <w:r>
        <w:rPr>
          <w:sz w:val="12"/>
          <w:szCs w:val="12"/>
        </w:rPr>
        <w:t xml:space="preserve"/>
      </w:r>
    </w:p>
    <w:p>
      <w:pPr>
        <w:spacing w:after="160" w:before="120"/>
        <w:jc w:val="left"/>
      </w:pPr>
      <w:r>
        <w:rPr>
          <w:rFonts w:ascii="Arial" w:cs="Arial" w:eastAsia="Arial" w:hAnsi="Arial"/>
          <w:b/>
          <w:bCs/>
          <w:i w:val="false"/>
          <w:iCs w:val="false"/>
          <w:color w:val="1B3A6B"/>
          <w:sz w:val="28"/>
          <w:szCs w:val="28"/>
        </w:rPr>
        <w:t xml:space="preserve">4. What Wasn't Said</w:t>
      </w:r>
    </w:p>
    <w:p>
      <w:pPr>
        <w:spacing w:after="80" w:before="160"/>
        <w:jc w:val="left"/>
      </w:pPr>
      <w:r>
        <w:rPr>
          <w:rFonts w:ascii="Arial" w:cs="Arial" w:eastAsia="Arial" w:hAnsi="Arial"/>
          <w:b/>
          <w:bCs/>
          <w:i w:val="false"/>
          <w:iCs w:val="false"/>
          <w:color w:val="1B3A6B"/>
          <w:sz w:val="24"/>
          <w:szCs w:val="24"/>
        </w:rPr>
        <w:t xml:space="preserve">Copilot Revenue Disclosure — Promised and Missing</w:t>
      </w:r>
    </w:p>
    <w:p>
      <w:pPr>
        <w:spacing w:after="160" w:before="0"/>
        <w:jc w:val="left"/>
      </w:pPr>
      <w:r>
        <w:rPr>
          <w:rFonts w:ascii="Arial" w:cs="Arial" w:eastAsia="Arial" w:hAnsi="Arial"/>
          <w:b w:val="false"/>
          <w:bCs w:val="false"/>
          <w:i w:val="false"/>
          <w:iCs w:val="false"/>
          <w:color w:val="333333"/>
          <w:sz w:val="22"/>
          <w:szCs w:val="22"/>
        </w:rPr>
        <w:t xml:space="preserve">During the Q1 FY2026 call, CFO Amy Hood stated the company would provide 'more granular disclosure around AI revenue contribution' beginning in Q2. That disclosure did not appear in this call.</w:t>
      </w:r>
    </w:p>
    <w:p>
      <w:pPr>
        <w:pBdr>
          <w:left w:val="single" w:color="D0D8E4" w:sz="12" w:space="8"/>
        </w:pBdr>
        <w:spacing w:after="120" w:before="120"/>
        <w:ind w:left="720" w:right="360"/>
      </w:pPr>
      <w:r>
        <w:rPr>
          <w:rFonts w:ascii="Arial" w:cs="Arial" w:eastAsia="Arial" w:hAnsi="Arial"/>
          <w:b w:val="false"/>
          <w:bCs w:val="false"/>
          <w:i/>
          <w:iCs/>
          <w:color w:val="666666"/>
          <w:sz w:val="21"/>
          <w:szCs w:val="21"/>
        </w:rPr>
        <w:t xml:space="preserve">*The absence of a promised disclosure is more telling than most things that were disclosed. Companies typically delay transparency when the numbers are not yet strong enough to support the narrative they want to tell.*</w:t>
      </w:r>
    </w:p>
    <w:p>
      <w:pPr>
        <w:spacing w:after="80" w:before="160"/>
        <w:jc w:val="left"/>
      </w:pPr>
      <w:r>
        <w:rPr>
          <w:rFonts w:ascii="Arial" w:cs="Arial" w:eastAsia="Arial" w:hAnsi="Arial"/>
          <w:b/>
          <w:bCs/>
          <w:i w:val="false"/>
          <w:iCs w:val="false"/>
          <w:color w:val="1B3A6B"/>
          <w:sz w:val="24"/>
          <w:szCs w:val="24"/>
        </w:rPr>
        <w:t xml:space="preserve">Margin Recovery Timeline — No Target</w:t>
      </w:r>
    </w:p>
    <w:p>
      <w:pPr>
        <w:spacing w:after="160" w:before="0"/>
        <w:jc w:val="left"/>
      </w:pPr>
      <w:r>
        <w:rPr>
          <w:rFonts w:ascii="Arial" w:cs="Arial" w:eastAsia="Arial" w:hAnsi="Arial"/>
          <w:b w:val="false"/>
          <w:bCs w:val="false"/>
          <w:i w:val="false"/>
          <w:iCs w:val="false"/>
          <w:color w:val="333333"/>
          <w:sz w:val="22"/>
          <w:szCs w:val="22"/>
        </w:rPr>
        <w:t xml:space="preserve">No analyst received a direct answer about when operating margins would stabilize. The closest statement was Hood's comment that 'investment intensity will moderate as capacity comes online' — direction without timeline or magnitude.</w:t>
      </w:r>
    </w:p>
    <w:p>
      <w:pPr>
        <w:spacing w:after="0" w:before="0"/>
      </w:pPr>
      <w:r>
        <w:rPr>
          <w:sz w:val="16"/>
          <w:szCs w:val="16"/>
        </w:rPr>
        <w:t xml:space="preserve"/>
      </w:r>
    </w:p>
    <w:p>
      <w:pPr>
        <w:pBdr>
          <w:bottom w:val="single" w:color="D0D8E4" w:sz="6" w:space="1"/>
        </w:pBdr>
        <w:spacing w:after="60" w:before="60"/>
      </w:pPr>
      <w:r>
        <w:t xml:space="preserve"/>
      </w:r>
    </w:p>
    <w:p>
      <w:pPr>
        <w:spacing w:after="0" w:before="0"/>
      </w:pPr>
      <w:r>
        <w:rPr>
          <w:sz w:val="12"/>
          <w:szCs w:val="12"/>
        </w:rPr>
        <w:t xml:space="preserve"/>
      </w:r>
    </w:p>
    <w:p>
      <w:pPr>
        <w:spacing w:after="160" w:before="120"/>
        <w:jc w:val="left"/>
      </w:pPr>
      <w:r>
        <w:rPr>
          <w:rFonts w:ascii="Arial" w:cs="Arial" w:eastAsia="Arial" w:hAnsi="Arial"/>
          <w:b/>
          <w:bCs/>
          <w:i w:val="false"/>
          <w:iCs w:val="false"/>
          <w:color w:val="1B3A6B"/>
          <w:sz w:val="28"/>
          <w:szCs w:val="28"/>
        </w:rPr>
        <w:t xml:space="preserve">5. The Bigger Picture</w:t>
      </w:r>
    </w:p>
    <w:p>
      <w:pPr>
        <w:spacing w:after="80" w:before="160"/>
        <w:jc w:val="left"/>
      </w:pPr>
      <w:r>
        <w:rPr>
          <w:rFonts w:ascii="Arial" w:cs="Arial" w:eastAsia="Arial" w:hAnsi="Arial"/>
          <w:b/>
          <w:bCs/>
          <w:i w:val="false"/>
          <w:iCs w:val="false"/>
          <w:color w:val="1B3A6B"/>
          <w:sz w:val="24"/>
          <w:szCs w:val="24"/>
        </w:rPr>
        <w:t xml:space="preserve">What This Tells Us About the Economy</w:t>
      </w:r>
    </w:p>
    <w:p>
      <w:pPr>
        <w:spacing w:after="160" w:before="0"/>
        <w:jc w:val="left"/>
      </w:pPr>
      <w:r>
        <w:rPr>
          <w:rFonts w:ascii="Arial" w:cs="Arial" w:eastAsia="Arial" w:hAnsi="Arial"/>
          <w:b w:val="false"/>
          <w:bCs w:val="false"/>
          <w:i w:val="false"/>
          <w:iCs w:val="false"/>
          <w:color w:val="333333"/>
          <w:sz w:val="22"/>
          <w:szCs w:val="22"/>
        </w:rPr>
        <w:t xml:space="preserve">Microsoft's results are a window into the state of enterprise technology spending, and the signal is bifurcated. Large enterprises are spending aggressively on cloud infrastructure and AI integration. But 'more mixed' demand from smaller businesses echoes a K-shaped pattern visible across the technology sector.</w:t>
      </w:r>
    </w:p>
    <w:p>
      <w:pPr>
        <w:spacing w:after="80" w:before="160"/>
        <w:jc w:val="left"/>
      </w:pPr>
      <w:r>
        <w:rPr>
          <w:rFonts w:ascii="Arial" w:cs="Arial" w:eastAsia="Arial" w:hAnsi="Arial"/>
          <w:b/>
          <w:bCs/>
          <w:i w:val="false"/>
          <w:iCs w:val="false"/>
          <w:color w:val="1B3A6B"/>
          <w:sz w:val="24"/>
          <w:szCs w:val="24"/>
        </w:rPr>
        <w:t xml:space="preserve">What to Watch Next Quarter</w:t>
      </w:r>
    </w:p>
    <w:p>
      <w:pPr>
        <w:spacing w:after="160" w:before="0"/>
        <w:jc w:val="left"/>
      </w:pPr>
      <w:r>
        <w:rPr>
          <w:rFonts w:ascii="Arial" w:cs="Arial" w:eastAsia="Arial" w:hAnsi="Arial"/>
          <w:b w:val="false"/>
          <w:bCs w:val="false"/>
          <w:i w:val="false"/>
          <w:iCs w:val="false"/>
          <w:color w:val="333333"/>
          <w:sz w:val="22"/>
          <w:szCs w:val="22"/>
        </w:rPr>
        <w:t xml:space="preserve">1. Whether Microsoft provides the Copilot revenue disclosure it deferred this quarter.
2. Operating margin trajectory — a third consecutive quarter of compression would test investor patience.
3. Azure growth durability — the 38% rate included ~$1.2B in one-time migrations.
4. CapEx guidance specificity — any concrete timeline for spending moderation would change the outlook.</w:t>
      </w:r>
    </w:p>
    <w:p>
      <w:pPr>
        <w:spacing w:after="0" w:before="0"/>
      </w:pPr>
      <w:r>
        <w:rPr>
          <w:sz w:val="16"/>
          <w:szCs w:val="16"/>
        </w:rPr>
        <w:t xml:space="preserve"/>
      </w:r>
    </w:p>
    <w:p>
      <w:r>
        <w:br w:type="page"/>
      </w:r>
    </w:p>
    <w:p>
      <w:pPr>
        <w:spacing w:after="80" w:before="0"/>
        <w:jc w:val="left"/>
      </w:pPr>
      <w:r>
        <w:rPr>
          <w:rFonts w:ascii="Arial" w:cs="Arial" w:eastAsia="Arial" w:hAnsi="Arial"/>
          <w:b/>
          <w:bCs/>
          <w:i w:val="false"/>
          <w:iCs w:val="false"/>
          <w:color w:val="1B3A6B"/>
          <w:sz w:val="28"/>
          <w:szCs w:val="28"/>
        </w:rPr>
        <w:t xml:space="preserve">Verification Report</w:t>
      </w:r>
    </w:p>
    <w:p>
      <w:pPr>
        <w:spacing w:after="160" w:before="0"/>
        <w:jc w:val="left"/>
      </w:pPr>
      <w:r>
        <w:rPr>
          <w:rFonts w:ascii="Arial" w:cs="Arial" w:eastAsia="Arial" w:hAnsi="Arial"/>
          <w:b w:val="false"/>
          <w:bCs w:val="false"/>
          <w:i/>
          <w:iCs/>
          <w:color w:val="666666"/>
          <w:sz w:val="20"/>
          <w:szCs w:val="20"/>
        </w:rPr>
        <w:t xml:space="preserve">This appendix documents the verification process applied to the preceding report. Every factual claim was independently checked against the source transcript.</w:t>
      </w:r>
    </w:p>
    <w:p>
      <w:pPr>
        <w:spacing w:after="80" w:before="0"/>
        <w:jc w:val="left"/>
      </w:pPr>
      <w:r>
        <w:rPr>
          <w:rFonts w:ascii="Arial" w:cs="Arial" w:eastAsia="Arial" w:hAnsi="Arial"/>
          <w:b/>
          <w:bCs/>
          <w:i w:val="false"/>
          <w:iCs w:val="false"/>
          <w:color w:val="1B3A6B"/>
          <w:sz w:val="22"/>
          <w:szCs w:val="22"/>
        </w:rPr>
        <w:t xml:space="preserve">Source Grounding by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S2a</w:t>
            </w:r>
          </w:p>
        </w:tc>
        <w:tc>
          <w:tcPr>
            <w:tcW w:type="dxa" w:w="234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S2b</w:t>
            </w:r>
          </w:p>
        </w:tc>
        <w:tc>
          <w:tcPr>
            <w:tcW w:type="dxa" w:w="234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S2c</w:t>
            </w:r>
          </w:p>
        </w:tc>
        <w:tc>
          <w:tcPr>
            <w:tcW w:type="dxa" w:w="2340"/>
            <w:gridSpan w:val="1"/>
            <w:tcBorders>
              <w:top w:val="single" w:color="D0D8E4" w:sz="1"/>
              <w:left w:val="single" w:color="D0D8E4" w:sz="1"/>
              <w:bottom w:val="single" w:color="D0D8E4" w:sz="1"/>
              <w:right w:val="single" w:color="D0D8E4" w:sz="1"/>
            </w:tcBorders>
            <w:shd w:fill="1B3A6B"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S2d</w:t>
            </w:r>
          </w:p>
        </w:tc>
      </w:tr>
      <w:tr>
        <w:tc>
          <w:tcPr>
            <w:tcW w:type="dxa" w:w="2340"/>
            <w:gridSpan w:val="1"/>
            <w:tcBorders>
              <w:top w:val="single" w:color="D0D8E4" w:sz="1"/>
              <w:left w:val="single" w:color="D0D8E4" w:sz="1"/>
              <w:bottom w:val="single" w:color="D0D8E4" w:sz="1"/>
              <w:right w:val="single" w:color="D0D8E4" w:sz="1"/>
            </w:tcBorders>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4"/>
                <w:szCs w:val="24"/>
              </w:rPr>
              <w:t xml:space="preserve">97%</w:t>
            </w:r>
          </w:p>
        </w:tc>
        <w:tc>
          <w:tcPr>
            <w:tcW w:type="dxa" w:w="2340"/>
            <w:gridSpan w:val="1"/>
            <w:tcBorders>
              <w:top w:val="single" w:color="D0D8E4" w:sz="1"/>
              <w:left w:val="single" w:color="D0D8E4" w:sz="1"/>
              <w:bottom w:val="single" w:color="D0D8E4" w:sz="1"/>
              <w:right w:val="single" w:color="D0D8E4" w:sz="1"/>
            </w:tcBorders>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4"/>
                <w:szCs w:val="24"/>
              </w:rPr>
              <w:t xml:space="preserve">95%</w:t>
            </w:r>
          </w:p>
        </w:tc>
        <w:tc>
          <w:tcPr>
            <w:tcW w:type="dxa" w:w="2340"/>
            <w:gridSpan w:val="1"/>
            <w:tcBorders>
              <w:top w:val="single" w:color="D0D8E4" w:sz="1"/>
              <w:left w:val="single" w:color="D0D8E4" w:sz="1"/>
              <w:bottom w:val="single" w:color="D0D8E4" w:sz="1"/>
              <w:right w:val="single" w:color="D0D8E4" w:sz="1"/>
            </w:tcBorders>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4"/>
                <w:szCs w:val="24"/>
              </w:rPr>
              <w:t xml:space="preserve">96%</w:t>
            </w:r>
          </w:p>
        </w:tc>
        <w:tc>
          <w:tcPr>
            <w:tcW w:type="dxa" w:w="2340"/>
            <w:gridSpan w:val="1"/>
            <w:tcBorders>
              <w:top w:val="single" w:color="D0D8E4" w:sz="1"/>
              <w:left w:val="single" w:color="D0D8E4" w:sz="1"/>
              <w:bottom w:val="single" w:color="D0D8E4" w:sz="1"/>
              <w:right w:val="single" w:color="D0D8E4" w:sz="1"/>
            </w:tcBorders>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333333"/>
                <w:sz w:val="24"/>
                <w:szCs w:val="24"/>
              </w:rPr>
              <w:t xml:space="preserve">98%</w:t>
            </w:r>
          </w:p>
        </w:tc>
      </w:tr>
    </w:tbl>
    <w:p>
      <w:pPr>
        <w:spacing w:after="0" w:before="0"/>
      </w:pPr>
      <w:r>
        <w:rPr>
          <w:sz w:val="24"/>
          <w:szCs w:val="24"/>
        </w:rPr>
        <w:t xml:space="preserve"/>
      </w:r>
    </w:p>
    <w:p>
      <w:pPr>
        <w:spacing w:after="120" w:before="0"/>
        <w:jc w:val="left"/>
      </w:pPr>
      <w:r>
        <w:rPr>
          <w:rFonts w:ascii="Arial" w:cs="Arial" w:eastAsia="Arial" w:hAnsi="Arial"/>
          <w:b/>
          <w:bCs/>
          <w:i w:val="false"/>
          <w:iCs w:val="false"/>
          <w:color w:val="333333"/>
          <w:sz w:val="22"/>
          <w:szCs w:val="22"/>
        </w:rPr>
        <w:t xml:space="preserve">Contradiction Check: </w:t>
      </w:r>
      <w:r>
        <w:rPr>
          <w:rFonts w:ascii="Arial" w:cs="Arial" w:eastAsia="Arial" w:hAnsi="Arial"/>
          <w:b w:val="false"/>
          <w:bCs w:val="false"/>
          <w:i w:val="false"/>
          <w:iCs w:val="false"/>
          <w:color w:val="2E7D32"/>
          <w:sz w:val="22"/>
          <w:szCs w:val="22"/>
        </w:rPr>
        <w:t xml:space="preserve">✓ 0 contradictions detected — Pass</w:t>
      </w:r>
    </w:p>
    <w:p>
      <w:pPr>
        <w:spacing w:after="80" w:before="120"/>
        <w:jc w:val="left"/>
      </w:pPr>
      <w:r>
        <w:rPr>
          <w:rFonts w:ascii="Arial" w:cs="Arial" w:eastAsia="Arial" w:hAnsi="Arial"/>
          <w:b/>
          <w:bCs/>
          <w:i w:val="false"/>
          <w:iCs w:val="false"/>
          <w:color w:val="1B3A6B"/>
          <w:sz w:val="22"/>
          <w:szCs w:val="22"/>
        </w:rPr>
        <w:t xml:space="preserve">Model Score Disagreements</w:t>
      </w:r>
    </w:p>
    <w:p>
      <w:pPr>
        <w:spacing w:after="80" w:before="0"/>
        <w:jc w:val="left"/>
      </w:pPr>
      <w:r>
        <w:rPr>
          <w:rFonts w:ascii="Arial" w:cs="Arial" w:eastAsia="Arial" w:hAnsi="Arial"/>
          <w:b w:val="false"/>
          <w:bCs w:val="false"/>
          <w:i/>
          <w:iCs/>
          <w:color w:val="333333"/>
          <w:sz w:val="20"/>
          <w:szCs w:val="20"/>
        </w:rPr>
        <w:t xml:space="preserve">• mgmt_transparency: Model A scored 6, Model B scored 4. Published score 5 is adjudicated midpoint.</w:t>
      </w:r>
    </w:p>
    <w:p>
      <w:pPr>
        <w:spacing w:after="80" w:before="0"/>
        <w:jc w:val="left"/>
      </w:pPr>
      <w:r>
        <w:rPr>
          <w:rFonts w:ascii="Arial" w:cs="Arial" w:eastAsia="Arial" w:hAnsi="Arial"/>
          <w:b w:val="false"/>
          <w:bCs w:val="false"/>
          <w:i/>
          <w:iCs/>
          <w:color w:val="333333"/>
          <w:sz w:val="20"/>
          <w:szCs w:val="20"/>
        </w:rPr>
        <w:t xml:space="preserve">• earnings_quality: Model A scored 8 (high recurring mix); Model B scored 6 (flagging one-time migrations). Adjudicated to 7.</w:t>
      </w:r>
    </w:p>
    <w:p>
      <w:pPr>
        <w:spacing w:after="0" w:before="0"/>
      </w:pPr>
      <w:r>
        <w:rPr>
          <w:sz w:val="16"/>
          <w:szCs w:val="16"/>
        </w:rPr>
        <w:t xml:space="preserve"/>
      </w:r>
    </w:p>
    <w:p>
      <w:pPr>
        <w:spacing w:after="80" w:before="160"/>
        <w:jc w:val="left"/>
      </w:pPr>
      <w:r>
        <w:rPr>
          <w:rFonts w:ascii="Arial" w:cs="Arial" w:eastAsia="Arial" w:hAnsi="Arial"/>
          <w:b/>
          <w:bCs/>
          <w:i w:val="false"/>
          <w:iCs w:val="false"/>
          <w:color w:val="1B3A6B"/>
          <w:sz w:val="22"/>
          <w:szCs w:val="22"/>
        </w:rPr>
        <w:t xml:space="preserve">Verification Limitations</w:t>
      </w:r>
    </w:p>
    <w:p>
      <w:pPr>
        <w:spacing w:after="120" w:before="0"/>
        <w:jc w:val="left"/>
      </w:pPr>
      <w:r>
        <w:rPr>
          <w:rFonts w:ascii="Arial" w:cs="Arial" w:eastAsia="Arial" w:hAnsi="Arial"/>
          <w:b w:val="false"/>
          <w:bCs w:val="false"/>
          <w:i/>
          <w:iCs/>
          <w:color w:val="666666"/>
          <w:sz w:val="20"/>
          <w:szCs w:val="20"/>
        </w:rPr>
        <w:t xml:space="preserve">This verification pipeline checks factual grounding against the transcript and internal consistency across sections. It cannot verify: (1) whether analyst consensus estimates cited are accurate; (2) whether management statements are truthful, only whether claims in this report accurately reflect what management stated; (3) claims derived from industry-wide data not present in the transcript.</w:t>
      </w:r>
    </w:p>
    <w:p>
      <w:pPr>
        <w:spacing w:after="0" w:before="0"/>
      </w:pPr>
      <w:r>
        <w:rPr>
          <w:sz w:val="32"/>
          <w:szCs w:val="32"/>
        </w:rPr>
        <w:t xml:space="preserve"/>
      </w:r>
    </w:p>
    <w:p>
      <w:pPr>
        <w:pBdr>
          <w:bottom w:val="single" w:color="D0D8E4" w:sz="6" w:space="1"/>
        </w:pBdr>
        <w:spacing w:after="60" w:before="60"/>
      </w:pPr>
      <w:r>
        <w:t xml:space="preserve"/>
      </w:r>
    </w:p>
    <w:p>
      <w:pPr>
        <w:spacing w:after="120" w:before="120"/>
        <w:jc w:val="center"/>
      </w:pPr>
      <w:r>
        <w:rPr>
          <w:rFonts w:ascii="Arial" w:cs="Arial" w:eastAsia="Arial" w:hAnsi="Arial"/>
          <w:b w:val="false"/>
          <w:bCs w:val="false"/>
          <w:i/>
          <w:iCs/>
          <w:color w:val="666666"/>
          <w:sz w:val="18"/>
          <w:szCs w:val="18"/>
        </w:rPr>
        <w:t xml:space="preserve">Produced by Chorus AI Systems  |  Multi-model verification pipeline with zero-hallucination tolerance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d248952c38d17922779bf885af5088f1119cb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2026-03-12T17:39:45.247Z</dcterms:created>
  <dcterms:modified xsi:type="dcterms:W3CDTF">2026-03-12T17:39:45.247Z</dcterms:modified>
</cp:coreProperties>
</file>

<file path=docProps/custom.xml><?xml version="1.0" encoding="utf-8"?>
<Properties xmlns="http://schemas.openxmlformats.org/officeDocument/2006/custom-properties" xmlns:vt="http://schemas.openxmlformats.org/officeDocument/2006/docPropsVTypes"/>
</file>