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AIOM_Ch01_redraft.html</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Twenty dollars per developer, per month. In the spring of 2025, that was the price of Cursor , an AI coding assistant. A software team bought one Cursor license for each developer who would use it, just as it did with every other software tool. The expense went into the budget beside the company’s ticketing system, design software, and password manager.</w:t>
      </w:r>
    </w:p>
    <w:p>
      <w:r>
        <w:rPr>
          <w:b/>
          <w:color w:val="998877"/>
          <w:sz w:val="16"/>
        </w:rPr>
        <w:t xml:space="preserve">[BODY] </w:t>
      </w:r>
      <w:r>
        <w:t>Cursor was useful, and it was cheap. Once the agreement was signed, nobody in finance had a reason to examine the line item again. Nothing about a twenty-dollar software seat demanded attention. But beneath every seat, a meter was running.</w:t>
      </w:r>
    </w:p>
    <w:p>
      <w:r>
        <w:rPr>
          <w:b/>
          <w:color w:val="998877"/>
          <w:sz w:val="16"/>
        </w:rPr>
        <w:t xml:space="preserve">[BODY] </w:t>
      </w:r>
      <w:r>
        <w:t>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
        <w:rPr>
          <w:b/>
          <w:color w:val="998877"/>
          <w:sz w:val="16"/>
        </w:rPr>
        <w:t xml:space="preserve">[BODY] </w:t>
      </w:r>
      <w:r>
        <w:t>Light users barely noticed. For the team’s heaviest users, the people getting the most value, the credit was consumed in a handful of prompts, after which additional usage was priced at the same rates. The change therefore fell hardest on the customers who used the product most, and charges arrived that they had not planned for.</w:t>
      </w:r>
    </w:p>
    <w:p>
      <w:r>
        <w:rPr>
          <w:b/>
          <w:color w:val="998877"/>
          <w:sz w:val="16"/>
        </w:rPr>
        <w:t xml:space="preserve">[BODY] </w:t>
      </w:r>
      <w:r>
        <w:t>On July 4, less than three weeks after the change, Michael Truell, chief executive of Anysphere , the company behind Cursor , apologized and promised refunds for charges incurred during the transition. His explanation reduced the dispute to arithmetic. The newest models consumed far more tokens on long-horizon tasks than a flat monthly price could cover. Cursor had been paying the difference, but the difference had become too expensive to absorb.</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On June 18, 2025, two days after Cursor changed its plan, GitHub began charging Copilot customers for premium requests that exceeded a monthly allowance. It then spent the next year preparing a larger change.</w:t>
      </w:r>
    </w:p>
    <w:p>
      <w:r>
        <w:rPr>
          <w:b/>
          <w:color w:val="998877"/>
          <w:sz w:val="16"/>
        </w:rPr>
        <w:t xml:space="preserve">[BODY] </w:t>
      </w:r>
      <w:r>
        <w:t>On June 1, 2026, GitHub stopped measuring standard usage in requests and began measuring it in credits. Those credits reflected the tokens each customer consumed and the published rate of the model they selected. Customers received advance notice and could preview their charges before the bill arrived. Every plan included an allowance, and annual subscribers kept their existing terms until their subscriptions expired. The subscription price did not change by a dollar. What changed was what that dollar bought.</w:t>
      </w:r>
    </w:p>
    <w:p>
      <w:r>
        <w:rPr>
          <w:b/>
          <w:color w:val="998877"/>
          <w:sz w:val="16"/>
        </w:rPr>
        <w:t xml:space="preserve">[BODY] </w:t>
      </w:r>
      <w:r>
        <w:t>Microsoft ’s scale changed how the pricing correction arrived, but not whether the underlying economics required it. On January 28, 2026, four months before that change, the company told investors on its earnings call that Copilot had passed 4.7 million paid subscribers and was growing 75 percent year over year. If a provider can fund the gap between a flat price and the cost of the resource that price buys, then it controls the timing and the form of the correction. That control is what buys advance notice, a published schedule, and tooling that shows customers the effect before it lands. If a provider cannot fund the gap, the gap sets the timing instead. Scale made the correction orderly. It did not make the variable cost disappear.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
        <w:rPr>
          <w:b/>
          <w:color w:val="998877"/>
          <w:sz w:val="16"/>
        </w:rPr>
        <w:t xml:space="preserve">[BODY] </w:t>
      </w:r>
      <w:r>
        <w:t>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
        <w:rPr>
          <w:b/>
          <w:color w:val="998877"/>
          <w:sz w:val="16"/>
        </w:rPr>
        <w:t xml:space="preserve">[BODY] </w:t>
      </w:r>
      <w:r>
        <w:t>The buyers had not chosen the wrong vendors, and the tools had not failed. They made an error of category. They bought access to a metered resource but managed it as conventional licensed software, assuming that the subscription price fixed the cost. What had looked like fixed-price software became a consumption-based resource all at once.</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[BODY] </w:t>
      </w:r>
      <w:r>
        <w:t>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
        <w:rPr>
          <w:b/>
          <w:color w:val="998877"/>
          <w:sz w:val="16"/>
        </w:rPr>
        <w:t xml:space="preserve">[BODY] </w:t>
      </w:r>
      <w:r>
        <w:t>The organization therefore fixes its cost when it signs the contract. Procurement negotiates the number of seats and the price of each seat. That per-seat amount is the access price. After the purchase, the organization manages access rather than consumption: who has a login, how many seats are active, and when the contract renews.</w:t>
      </w:r>
    </w:p>
    <w:p>
      <w:r>
        <w:rPr>
          <w:b/>
          <w:color w:val="998877"/>
          <w:sz w:val="16"/>
        </w:rPr>
        <w:t xml:space="preserve">[BODY] </w:t>
      </w:r>
      <w:r>
        <w:t>The software access model is not flawed. It accurately describes licensed software, and organizations have refined it through decades of enterprise purchasing. The problem begins when buyers apply that model to AI.</w:t>
      </w:r>
    </w:p>
    <w:p>
      <w:r>
        <w:rPr>
          <w:b/>
          <w:color w:val="998877"/>
          <w:sz w:val="16"/>
        </w:rPr>
        <w:t xml:space="preserve">[BODY] </w:t>
      </w:r>
      <w:r>
        <w:t>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
        <w:rPr>
          <w:b/>
          <w:color w:val="998877"/>
          <w:sz w:val="16"/>
        </w:rPr>
        <w:t xml:space="preserve">[BODY] </w:t>
      </w:r>
      <w:r>
        <w:t>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
        <w:rPr>
          <w:b/>
          <w:color w:val="998877"/>
          <w:sz w:val="16"/>
        </w:rPr>
        <w:t xml:space="preserve">[BODY] </w:t>
      </w:r>
      <w:r>
        <w:t>An organization that manages only access to a metered resource is measuring the wrong quantity. It counts seats even though usage and cost are determined by tokens, requests, and credits. The organization is managing the right tool through the wrong economic model.</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[BODY] </w:t>
      </w:r>
      <w:r>
        <w:t>The discipline developed in this book begins with a single unit of measurement: the consumption event. Each time an employee, workflow, or product calls an AI model, the system consumes computing resources and creates one of these events. The meter records them, and the invoice sums their cost.</w:t>
      </w:r>
    </w:p>
    <w:p>
      <w:r>
        <w:rPr>
          <w:b/>
          <w:color w:val="998877"/>
          <w:sz w:val="16"/>
        </w:rPr>
        <w:t xml:space="preserve">[BODY] </w:t>
      </w:r>
      <w:r>
        <w:t>The anatomy of a consumption event is simple, and Figure 1.1 shows its parts. Something enters the model: a prompt, a document, or a conversation history. The model performs a computation. Something returns: a completion, a suggestion, an answer, or a tool call.</w:t>
      </w:r>
    </w:p>
    <w:p>
      <w:r>
        <w:rPr>
          <w:b/>
          <w:color w:val="998877"/>
          <w:sz w:val="16"/>
        </w:rPr>
        <w:t xml:space="preserve">[BODY] </w:t>
      </w:r>
      <w:r>
        <w:t>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
        <w:rPr>
          <w:b/>
          <w:color w:val="998877"/>
          <w:sz w:val="16"/>
        </w:rPr>
        <w:t xml:space="preserve">[BODY] </w:t>
      </w:r>
      <w:r>
        <w:t>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pPr>
        <w:jc w:val="center"/>
      </w:pPr>
      <w:r>
        <w:drawing>
          <wp:inline xmlns:a="http://schemas.openxmlformats.org/drawingml/2006/main" xmlns:pic="http://schemas.openxmlformats.org/drawingml/2006/picture">
            <wp:extent cx="5120640" cy="18965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896533"/>
                    </a:xfrm>
                    <a:prstGeom prst="rect"/>
                  </pic:spPr>
                </pic:pic>
              </a:graphicData>
            </a:graphic>
          </wp:inline>
        </w:drawing>
      </w:r>
    </w:p>
    <w:p>
      <w:r>
        <w:rPr>
          <w:b/>
          <w:color w:val="998877"/>
          <w:sz w:val="16"/>
        </w:rPr>
        <w:t xml:space="preserve">[FIGURE CAPTION] </w:t>
      </w:r>
      <w:r>
        <w:t>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AI Operations Management must measure cost in the same unit used to record consumption. Three units appear possible: the seat, the task, and the consumption event.</w:t>
      </w:r>
    </w:p>
    <w:p>
      <w:r>
        <w:rPr>
          <w:b/>
          <w:color w:val="998877"/>
          <w:sz w:val="16"/>
        </w:rPr>
        <w:t xml:space="preserve">[BODY] </w:t>
      </w:r>
      <w:r>
        <w:t>A seat measures access, not use. Two employees with identical seats can consume vastly different amounts of AI. A task is the right unit for measuring business value, because it connects AI use to completed work. It cannot, however, measure cost reliably, because one task may require a single model call while another requires hundreds.</w:t>
      </w:r>
    </w:p>
    <w:p>
      <w:r>
        <w:rPr>
          <w:b/>
          <w:color w:val="998877"/>
          <w:sz w:val="16"/>
        </w:rPr>
        <w:t xml:space="preserve">[BODY] </w:t>
      </w:r>
      <w:r>
        <w:t>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
        <w:rPr>
          <w:b/>
          <w:color w:val="998877"/>
          <w:sz w:val="16"/>
        </w:rPr>
        <w:t xml:space="preserve">[BODY] </w:t>
      </w:r>
      <w:r>
        <w:t>A seat measures access. A task measures value. A consumption event measures use and cost.</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the buyer pays a fixed price for access, so cost remains flat as usage rises. Under the event model, each consumption event adds to the total, so cost rises with usage.</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do not describe the same cost in different ways. They describe two different cost structures. The seat model is the software access model defined in 1.1. The event model is the resource consumption model, in which each use is a metered consumption event. Figure 1.2 makes visible the difference that a flat subscription price can hide. Under the software access model, the buyer pays a fixed price for access, regardless of how much the software is used. Under the resource consumption model, every use adds to the total cost.</w:t>
      </w:r>
    </w:p>
    <w:p>
      <w:r>
        <w:rPr>
          <w:b/>
          <w:color w:val="998877"/>
          <w:sz w:val="16"/>
        </w:rPr>
        <w:t xml:space="preserve">[BODY] </w:t>
      </w:r>
      <w:r>
        <w:t>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
        <w:rPr>
          <w:b/>
          <w:color w:val="998877"/>
          <w:sz w:val="16"/>
        </w:rPr>
        <w:t xml:space="preserve">[SECTION HEAD] </w:t>
      </w:r>
      <w:r>
        <w:t>1.3 The flat-rate objection, answered</w:t>
      </w:r>
    </w:p>
    <w:p>
      <w:r>
        <w:rPr>
          <w:b/>
          <w:color w:val="998877"/>
          <w:sz w:val="16"/>
        </w:rPr>
        <w:t xml:space="preserve">[BODY] </w:t>
      </w:r>
      <w:r>
        <w:t>One objection stands against everything said so far: “We pay twenty dollars per seat each month. Our price is fixed, and the provider never bills us by the token. From our perspective, this is simply software.”</w:t>
      </w:r>
    </w:p>
    <w:p>
      <w:r>
        <w:rPr>
          <w:b/>
          <w:color w:val="998877"/>
          <w:sz w:val="16"/>
        </w:rPr>
        <w:t xml:space="preserve">[BODY] </w:t>
      </w:r>
      <w:r>
        <w:t>The objection is valid. A buyer who pays a flat monthly price is not secretly being billed by the token. But this does not mean that the underlying resource is unmetered. Flat pricing relocates the meter from the buyer to the provider. It does not abolish it. This is meter relocation.</w:t>
      </w:r>
    </w:p>
    <w:p>
      <w:r>
        <w:rPr>
          <w:b/>
          <w:color w:val="998877"/>
          <w:sz w:val="16"/>
        </w:rPr>
        <w:t xml:space="preserve">[BODY] </w:t>
      </w:r>
      <w:r>
        <w:t>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
        <w:rPr>
          <w:b/>
          <w:color w:val="998877"/>
          <w:sz w:val="16"/>
        </w:rPr>
        <w:t xml:space="preserve">[BODY] </w:t>
      </w:r>
      <w:r>
        <w:t>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
        <w:rPr>
          <w:b/>
          <w:color w:val="998877"/>
          <w:sz w:val="16"/>
        </w:rPr>
        <w:t xml:space="preserve">[BODY] </w:t>
      </w:r>
      <w:r>
        <w:t>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
        <w:rPr>
          <w:b/>
          <w:color w:val="998877"/>
          <w:sz w:val="16"/>
        </w:rPr>
        <w:t xml:space="preserve">[BODY] </w:t>
      </w:r>
      <w:r>
        <w:t>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
        <w:rPr>
          <w:b/>
          <w:color w:val="998877"/>
          <w:sz w:val="16"/>
        </w:rPr>
        <w:t xml:space="preserve">[BODY] </w:t>
      </w:r>
      <w:r>
        <w:t>This result does not depend on a vendor being careless or badly managed. It follows from the economics of deployed AI, and the AI Operations Management registry states it as a theorem.</w:t>
      </w:r>
    </w:p>
    <w:p>
      <w:r>
        <w:rPr>
          <w:b/>
          <w:color w:val="998877"/>
          <w:sz w:val="16"/>
        </w:rPr>
        <w:t xml:space="preserve">[LABEL] </w:t>
      </w:r>
      <w:r>
        <w:t>Theorem 1 · THM-009</w:t>
      </w:r>
    </w:p>
    <w:p>
      <w:r>
        <w:rPr>
          <w:b/>
          <w:color w:val="998877"/>
          <w:sz w:val="16"/>
        </w:rPr>
        <w:t xml:space="preserve">[THEOREM STATEMENT] </w:t>
      </w:r>
      <w:r>
        <w:rPr>
          <w:color w:val="998877"/>
          <w:sz w:val="16"/>
        </w:rPr>
        <w:t xml:space="preserve">(registry verbatim, do not edit) </w:t>
      </w:r>
      <w:r>
        <w:t>AI Use Is Resource Consumption, Not Merely Software Access</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an AI activity requires compute, and executing it consumes resources;</w:t>
      </w:r>
    </w:p>
    <w:p>
      <w:r>
        <w:rPr>
          <w:b/>
          <w:color w:val="998877"/>
          <w:sz w:val="16"/>
        </w:rPr>
        <w:t xml:space="preserve">[THEOREM ANTECEDENT] </w:t>
      </w:r>
      <w:r>
        <w:rPr>
          <w:color w:val="998877"/>
          <w:sz w:val="16"/>
        </w:rPr>
        <w:t xml:space="preserve">(ii, registry verbatim, do not edit) </w:t>
      </w:r>
      <w:r>
        <w:t>production scaling expands the surface over which that activity is used;</w:t>
      </w:r>
    </w:p>
    <w:p>
      <w:r>
        <w:rPr>
          <w:b/>
          <w:color w:val="998877"/>
          <w:sz w:val="16"/>
        </w:rPr>
        <w:t xml:space="preserve">[THEOREM ANTECEDENT] </w:t>
      </w:r>
      <w:r>
        <w:rPr>
          <w:color w:val="998877"/>
          <w:sz w:val="16"/>
        </w:rPr>
        <w:t xml:space="preserve">(iii, registry verbatim, do not edit) </w:t>
      </w:r>
      <w:r>
        <w:t>the buyer’s total cost extends beyond the access price; and</w:t>
      </w:r>
    </w:p>
    <w:p>
      <w:r>
        <w:rPr>
          <w:b/>
          <w:color w:val="998877"/>
          <w:sz w:val="16"/>
        </w:rPr>
        <w:t xml:space="preserve">[THEOREM ANTECEDENT] </w:t>
      </w:r>
      <w:r>
        <w:rPr>
          <w:color w:val="998877"/>
          <w:sz w:val="16"/>
        </w:rPr>
        <w:t xml:space="preserve">(iv, registry verbatim, do not edit) </w:t>
      </w:r>
      <w:r>
        <w:t>measurement makes resource use, or the cost-bearing activity, visible;</w:t>
      </w:r>
    </w:p>
    <w:p>
      <w:r>
        <w:rPr>
          <w:b/>
          <w:color w:val="998877"/>
          <w:sz w:val="16"/>
        </w:rPr>
        <w:t xml:space="preserve">[THEOREM CONSEQUENT] </w:t>
      </w:r>
      <w:r>
        <w:rPr>
          <w:color w:val="998877"/>
          <w:sz w:val="16"/>
        </w:rPr>
        <w:t xml:space="preserve">(registry verbatim, do not edit) </w:t>
      </w:r>
      <w:r>
        <w:t>then that AI use is a resource-consuming operating activity, not merely software access.</w:t>
      </w:r>
    </w:p>
    <w:p>
      <w:r>
        <w:rPr>
          <w:b/>
          <w:color w:val="998877"/>
          <w:sz w:val="16"/>
        </w:rPr>
        <w:t xml:space="preserve">[BODY] </w:t>
      </w:r>
      <w:r>
        <w:t>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
        <w:rPr>
          <w:b/>
          <w:color w:val="998877"/>
          <w:sz w:val="16"/>
        </w:rPr>
        <w:t xml:space="preserve">[BODY] </w:t>
      </w:r>
      <w:r>
        <w:t>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w:t>
      </w:r>
    </w:p>
    <w:p>
      <w:r>
        <w:rPr>
          <w:b/>
          <w:color w:val="998877"/>
          <w:sz w:val="16"/>
        </w:rPr>
        <w:t xml:space="preserve">[BODY] </w:t>
      </w:r>
      <w:r>
        <w:t>The fourth condition asks only that the resource use be measured somewhere, not that the buyer can see it. A provider’s meter satisfies that condition even when the invoice shows a single flat charge. The business is operating a resource-consuming activity, not merely accessing software.</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[BODY] </w:t>
      </w:r>
      <w:r>
        <w:t>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
        <w:rPr>
          <w:b/>
          <w:color w:val="998877"/>
          <w:sz w:val="16"/>
        </w:rPr>
        <w:t xml:space="preserve">[BODY] </w:t>
      </w:r>
      <w:r>
        <w:t>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
        <w:rPr>
          <w:b/>
          <w:color w:val="998877"/>
          <w:sz w:val="16"/>
        </w:rPr>
        <w:t xml:space="preserve">[DATED] </w:t>
      </w:r>
      <w:r>
        <w:t>Dated: January 2025</w:t>
      </w:r>
    </w:p>
    <w:p>
      <w:r>
        <w:rPr>
          <w:b/>
          <w:color w:val="998877"/>
          <w:sz w:val="16"/>
        </w:rPr>
        <w:t xml:space="preserve">[BODY] </w:t>
      </w:r>
      <w:r>
        <w:t>OpenAI provided an early example. Chief executive Sam Altman said publicly that the company was losing money on its two-hundred-dollar Pro subscriptions because subscribers used them more than the price had assumed. He also acknowledged that he had personally set the price. The problem was not the price of access. Actual consumption had exceeded the assumption built into it.</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
        <w:rPr>
          <w:b/>
          <w:color w:val="998877"/>
          <w:sz w:val="16"/>
        </w:rPr>
        <w:t xml:space="preserve">[BODY] </w:t>
      </w:r>
      <w:r>
        <w:t>Eleven days later, the company announced two new weekly usage caps in addition to its existing five-hour limits. The caps would take effect the following month for every subscriber, regardless of renewal date. Customers on the highest-priced plan could continue using Claude Code beyond those limits by purchasing additional usage at standard API rates. The subscription price remained intact, but the amount of consumption included within it now had a clearer boundary.</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in addition to five-hour limits that were already in force and had been tightened on July 17, 2025.</w:t>
      </w:r>
    </w:p>
    <w:p>
      <w:r>
        <w:rPr>
          <w:b/>
          <w:color w:val="998877"/>
          <w:sz w:val="16"/>
        </w:rPr>
        <w:t xml:space="preserve">[BODY] </w:t>
      </w:r>
      <w:r>
        <w:t>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
        <w:rPr>
          <w:b/>
          <w:color w:val="998877"/>
          <w:sz w:val="16"/>
        </w:rPr>
        <w:t xml:space="preserve">[BODY] </w:t>
      </w:r>
      <w:r>
        <w:t>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
        <w:rPr>
          <w:b/>
          <w:color w:val="998877"/>
          <w:sz w:val="16"/>
        </w:rPr>
        <w:t xml:space="preserve">[SECTION HEAD] </w:t>
      </w:r>
      <w:r>
        <w:t>1.4 What follows if this is true</w:t>
      </w:r>
    </w:p>
    <w:p>
      <w:r>
        <w:rPr>
          <w:b/>
          <w:color w:val="998877"/>
          <w:sz w:val="16"/>
        </w:rPr>
        <w:t xml:space="preserve">[BODY] </w:t>
      </w:r>
      <w:r>
        <w:t>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
        <w:rPr>
          <w:b/>
          <w:color w:val="998877"/>
          <w:sz w:val="16"/>
        </w:rPr>
        <w:t xml:space="preserve">[BODY] </w:t>
      </w:r>
      <w:r>
        <w:t>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
        <w:rPr>
          <w:b/>
          <w:color w:val="998877"/>
          <w:sz w:val="16"/>
        </w:rPr>
        <w:t xml:space="preserve">[BODY] </w:t>
      </w:r>
      <w:r>
        <w:t>These practices are not unique to manufacturing. They apply to any resource that costs money as it moves through an organization. To manage such a resource, leaders must be able to answer five questions:</w:t>
      </w:r>
    </w:p>
    <w:p>
      <w:r>
        <w:rPr>
          <w:b/>
          <w:color w:val="998877"/>
          <w:sz w:val="16"/>
        </w:rPr>
        <w:t xml:space="preserve">[BODY] </w:t>
      </w:r>
      <w:r>
        <w:t>What is the organization buying, and what requirement must it meet?</w:t>
      </w:r>
    </w:p>
    <w:p>
      <w:r>
        <w:rPr>
          <w:b/>
          <w:color w:val="998877"/>
          <w:sz w:val="16"/>
        </w:rPr>
        <w:t xml:space="preserve">[BODY] </w:t>
      </w:r>
      <w:r>
        <w:t>How much does it expect to consume, and how will it know when actual use departs from the plan?</w:t>
      </w:r>
    </w:p>
    <w:p>
      <w:r>
        <w:rPr>
          <w:b/>
          <w:color w:val="998877"/>
          <w:sz w:val="16"/>
        </w:rPr>
        <w:t xml:space="preserve">[BODY] </w:t>
      </w:r>
      <w:r>
        <w:t>Where is the resource being used?</w:t>
      </w:r>
    </w:p>
    <w:p>
      <w:r>
        <w:rPr>
          <w:b/>
          <w:color w:val="998877"/>
          <w:sz w:val="16"/>
        </w:rPr>
        <w:t xml:space="preserve">[BODY] </w:t>
      </w:r>
      <w:r>
        <w:t>Who decides how it is allocated when there is not enough?</w:t>
      </w:r>
    </w:p>
    <w:p>
      <w:r>
        <w:rPr>
          <w:b/>
          <w:color w:val="998877"/>
          <w:sz w:val="16"/>
        </w:rPr>
        <w:t xml:space="preserve">[BODY] </w:t>
      </w:r>
      <w:r>
        <w:t>What value does the organization receive in return?</w:t>
      </w:r>
    </w:p>
    <w:p>
      <w:r>
        <w:rPr>
          <w:b/>
          <w:color w:val="998877"/>
          <w:sz w:val="16"/>
        </w:rPr>
        <w:t xml:space="preserve">[BODY] </w:t>
      </w:r>
      <w:r>
        <w:t>If an organization cannot answer these questions, it is not managing the resource, regardless of what its organizational chart or policies suggest. It is simply receiving invoices and paying them.</w:t>
      </w:r>
    </w:p>
    <w:p>
      <w:r>
        <w:rPr>
          <w:b/>
          <w:color w:val="998877"/>
          <w:sz w:val="16"/>
        </w:rPr>
        <w:t xml:space="preserve">[BODY] </w:t>
      </w:r>
      <w:r>
        <w:t>Deployed AI is one of these resources. Every time an employee, workflow, or product uses AI, the organization consumes computing resources and incurs a cost. Total consumption rises with the volume of work, and as a deployment succeeds, that volume usually grows.</w:t>
      </w:r>
    </w:p>
    <w:p>
      <w:r>
        <w:rPr>
          <w:b/>
          <w:color w:val="998877"/>
          <w:sz w:val="16"/>
        </w:rPr>
        <w:t xml:space="preserve">[BODY] </w:t>
      </w:r>
      <w:r>
        <w:t>Most organizations, however, do not manage AI usage through a single, coordinated discipline. This is not because no one is paying attention. It is because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
        <w:rPr>
          <w:b/>
          <w:color w:val="998877"/>
          <w:sz w:val="16"/>
        </w:rPr>
        <w:t xml:space="preserve">[BODY] </w:t>
      </w:r>
      <w:r>
        <w:t>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
        <w:rPr>
          <w:b/>
          <w:color w:val="998877"/>
          <w:sz w:val="16"/>
        </w:rPr>
        <w:t xml:space="preserve">[BODY] </w:t>
      </w:r>
      <w:r>
        <w:t>Organizations that would never allow material to move through a plant without a record often allow AI consumption to pass through daily work unrecorded. The five questions therefore go unanswered, and the reason is visible in three places.</w:t>
      </w:r>
    </w:p>
    <w:p>
      <w:r>
        <w:rPr>
          <w:b/>
          <w:color w:val="998877"/>
          <w:sz w:val="16"/>
        </w:rPr>
        <w:t xml:space="preserve">[BODY] </w:t>
      </w:r>
      <w:r>
        <w:t>First, the organization tracks the wrong quantities. A company accustomed to seat-based software tracks headcount, license utilization, and renewal dates. None of these measures shows how much AI the organization consumes or what produces the bill.</w:t>
      </w:r>
    </w:p>
    <w:p>
      <w:r>
        <w:rPr>
          <w:b/>
          <w:color w:val="998877"/>
          <w:sz w:val="16"/>
        </w:rPr>
        <w:t xml:space="preserve">[BODY] </w:t>
      </w:r>
      <w:r>
        <w:t>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
        <w:rPr>
          <w:b/>
          <w:color w:val="998877"/>
          <w:sz w:val="16"/>
        </w:rPr>
        <w:t xml:space="preserve">[BODY] </w:t>
      </w:r>
      <w:r>
        <w:t>Third, the organization has no basis for accountability. Finance cannot assign a cost to the team, workflow, or product that incurred it unless the company can trace the cost back to the work. A cost assigned to no one is defended by no one.</w:t>
      </w:r>
    </w:p>
    <w:p>
      <w:r>
        <w:rPr>
          <w:b/>
          <w:color w:val="998877"/>
          <w:sz w:val="16"/>
        </w:rPr>
        <w:t xml:space="preserve">[BODY] </w:t>
      </w:r>
      <w:r>
        <w:t>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
        <w:rPr>
          <w:b/>
          <w:color w:val="998877"/>
          <w:sz w:val="16"/>
        </w:rPr>
        <w:t xml:space="preserve">[BODY] </w:t>
      </w:r>
      <w:r>
        <w:t>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
        <w:rPr>
          <w:b/>
          <w:color w:val="998877"/>
          <w:sz w:val="16"/>
        </w:rPr>
        <w:t xml:space="preserve">[BODY] </w:t>
      </w:r>
      <w:r>
        <w:t>Scale makes this inherited arrangement untenable. While AI remains a pilot, the organization can afford to manage it as a software license. One team uses a few seats, and the bill is too small to matter against the larger software budget.</w:t>
      </w:r>
    </w:p>
    <w:p>
      <w:r>
        <w:rPr>
          <w:b/>
          <w:color w:val="998877"/>
          <w:sz w:val="16"/>
        </w:rPr>
        <w:t xml:space="preserve">[BODY] </w:t>
      </w:r>
      <w:r>
        <w:t>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
        <w:rPr>
          <w:b/>
          <w:color w:val="998877"/>
          <w:sz w:val="16"/>
        </w:rPr>
        <w:t xml:space="preserve">[BODY] </w:t>
      </w:r>
      <w:r>
        <w:t>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
        <w:rPr>
          <w:b/>
          <w:color w:val="998877"/>
          <w:sz w:val="16"/>
        </w:rPr>
        <w:t xml:space="preserve">[BODY] </w:t>
      </w:r>
      <w:r>
        <w:t>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
        <w:rPr>
          <w:b/>
          <w:color w:val="998877"/>
          <w:sz w:val="16"/>
        </w:rPr>
        <w:t xml:space="preserve">[SECTION HEAD] </w:t>
      </w:r>
      <w:r>
        <w:t>1.5 What this book is not</w:t>
      </w:r>
    </w:p>
    <w:p>
      <w:r>
        <w:rPr>
          <w:b/>
          <w:color w:val="998877"/>
          <w:sz w:val="16"/>
        </w:rPr>
        <w:t xml:space="preserve">[BODY] </w:t>
      </w:r>
      <w:r>
        <w:t>This book addresses what happens after an organization decides to deploy AI. It does not explain how models work internally, so the reader will find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
        <w:rPr>
          <w:b/>
          <w:color w:val="998877"/>
          <w:sz w:val="16"/>
        </w:rPr>
        <w:t xml:space="preserve">[BODY] </w:t>
      </w:r>
      <w:r>
        <w:t>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The contact-center setting and approximate agent population are drawn from the cited study. The event architecture and all volume assumptions are stipulated for this exercise.</w:t>
      </w:r>
    </w:p>
    <w:p>
      <w:r>
        <w:rPr>
          <w:b/>
          <w:color w:val="998877"/>
          <w:sz w:val="16"/>
        </w:rPr>
        <w:t xml:space="preserve">[BODY] </w:t>
      </w:r>
      <w:r>
        <w:t>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
        <w:rPr>
          <w:b/>
          <w:color w:val="998877"/>
          <w:sz w:val="16"/>
        </w:rPr>
        <w:t xml:space="preserve">[BODY] </w:t>
      </w:r>
      <w:r>
        <w:t>This is the first artifact the reader produces in this book. Later artifacts use it to trace consumption, assign costs, and compare those costs with the value created. The inventory therefore needs to be specific enough to run against an actual deployment.</w:t>
      </w:r>
    </w:p>
    <w:p>
      <w:r>
        <w:rPr>
          <w:b/>
          <w:color w:val="998877"/>
          <w:sz w:val="16"/>
        </w:rPr>
        <w:t xml:space="preserve">[BODY] </w:t>
      </w:r>
      <w:r>
        <w:t>The procedure has four steps.</w:t>
      </w:r>
    </w:p>
    <w:p>
      <w:r>
        <w:rPr>
          <w:b/>
          <w:color w:val="998877"/>
          <w:sz w:val="16"/>
        </w:rPr>
        <w:t xml:space="preserve">[BODY] </w:t>
      </w:r>
      <w:r>
        <w:t>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
        <w:rPr>
          <w:b/>
          <w:color w:val="998877"/>
          <w:sz w:val="16"/>
        </w:rPr>
        <w:t xml:space="preserve">[BODY] </w:t>
      </w:r>
      <w:r>
        <w:t>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
        <w:rPr>
          <w:b/>
          <w:color w:val="998877"/>
          <w:sz w:val="16"/>
        </w:rPr>
        <w:t xml:space="preserve">[BODY] </w:t>
      </w:r>
      <w:r>
        <w:t>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
        <w:rPr>
          <w:b/>
          <w:color w:val="998877"/>
          <w:sz w:val="16"/>
        </w:rPr>
        <w:t xml:space="preserve">[BODY] </w:t>
      </w:r>
      <w:r>
        <w:t>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in which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their volume scales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the retrieval service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Under its per-seat plan, the organization receives a monthly invoice that shows only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a round five thousand agents, each handling 40 contacts on a working day, with 6 drafted replies per contact, one retrieval per drafted reply, and 21 working days in the month. Suggested-reply generations then run at 5,000 × 40 × 6 × 21, or 25.2 million events a month. Retrievals match them one for one at 25.2 million. Conversation-close operations run once per contact, at 4.2 million. The deployment generates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amounts of the resource that differ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headcount, determine the bill.</w:t>
      </w:r>
    </w:p>
    <w:p>
      <w:r>
        <w:rPr>
          <w:b/>
          <w:color w:val="998877"/>
          <w:sz w:val="16"/>
        </w:rPr>
        <w:t xml:space="preserve">[SECTION HEAD] </w:t>
      </w:r>
      <w:r>
        <w:t>Chapter summary</w:t>
      </w:r>
    </w:p>
    <w:p>
      <w:r>
        <w:rPr>
          <w:b/>
          <w:color w:val="998877"/>
          <w:sz w:val="16"/>
        </w:rPr>
        <w:t xml:space="preserve">[BODY] </w:t>
      </w:r>
      <w:r>
        <w:t>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
        <w:rPr>
          <w:b/>
          <w:color w:val="998877"/>
          <w:sz w:val="16"/>
        </w:rPr>
        <w:t xml:space="preserve">[BODY] </w:t>
      </w:r>
      <w:r>
        <w:t>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
        <w:rPr>
          <w:b/>
          <w:color w:val="998877"/>
          <w:sz w:val="16"/>
        </w:rPr>
        <w:t xml:space="preserve">[BODY] </w:t>
      </w:r>
      <w:r>
        <w:t>A flat price does not erase this distinction. It relocates the meter to the provider, which continues to measure consumption and decides when the commercial terms must change. This conclusion does not require a prediction about any particular vendor. It follows from Theorem 1: deployed AI is a resource-consuming operating activity, not merely software access.</w:t>
      </w:r>
    </w:p>
    <w:p>
      <w:r>
        <w:rPr>
          <w:b/>
          <w:color w:val="998877"/>
          <w:sz w:val="16"/>
        </w:rPr>
        <w:t xml:space="preserve">[BODY] </w:t>
      </w:r>
      <w:r>
        <w:t>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
        <w:rPr>
          <w:b/>
          <w:color w:val="998877"/>
          <w:sz w:val="16"/>
        </w:rPr>
        <w:t xml:space="preserve">[SECTION HEAD] </w:t>
      </w:r>
      <w:r>
        <w:t>Key terms</w:t>
      </w:r>
    </w:p>
    <w:p>
      <w:r>
        <w:rPr>
          <w:b/>
          <w:color w:val="998877"/>
          <w:sz w:val="16"/>
        </w:rPr>
        <w:t xml:space="preserve">[KEY TERM] </w:t>
      </w:r>
      <w:r>
        <w:t>Category error</w:t>
      </w:r>
    </w:p>
    <w:p>
      <w:r>
        <w:rPr>
          <w:b/>
          <w:color w:val="998877"/>
          <w:sz w:val="16"/>
        </w:rPr>
        <w:t xml:space="preserve">[BODY] </w:t>
      </w:r>
      <w:r>
        <w:t>The mistake of buying access to a metered resource and managing it as licensed software, on the assumption that the access price fixes the total cost. The tool is the right one and the vendor is not at fault; the economic model applied to it is the wrong one.</w:t>
      </w:r>
    </w:p>
    <w:p>
      <w:r>
        <w:rPr>
          <w:b/>
          <w:color w:val="998877"/>
          <w:sz w:val="16"/>
        </w:rPr>
        <w:t xml:space="preserve">[KEY 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[KEY TERM] </w:t>
      </w:r>
      <w:r>
        <w:t>Resource consumption model</w:t>
      </w:r>
    </w:p>
    <w:p>
      <w:r>
        <w:rPr>
          <w:b/>
          <w:color w:val="998877"/>
          <w:sz w:val="16"/>
        </w:rPr>
        <w:t xml:space="preserve">[BODY] </w:t>
      </w:r>
      <w:r>
        <w:t>The economic model in which deployed AI is consumed as a metered resource. Each use creates a consumption event, and cost accrues with each event. It contrasts with the software access model.</w:t>
      </w:r>
    </w:p>
    <w:p>
      <w:r>
        <w:rPr>
          <w:b/>
          <w:color w:val="998877"/>
          <w:sz w:val="16"/>
        </w:rPr>
        <w:t xml:space="preserve">[KEY 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[KEY 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principle that flat-rate pricing does not eliminate consumption measurement. It moves the meter to the provider, which sets the flat rate based on expected usage and adjusts pricing or terms when actual consumption diverges from those assumptions.</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
        <w:rPr>
          <w:b/>
          <w:color w:val="998877"/>
          <w:sz w:val="16"/>
        </w:rPr>
        <w:t xml:space="preserve">[BODY] </w:t>
      </w:r>
      <w:r>
        <w:t>The Cursor and GitHub Copilot episodes can be read as two companies changing their prices. Taken together, what do they reveal about where consumption was being measured all along? Why does the evidence become stronger when the two cases are considered together?</w:t>
      </w:r>
    </w:p>
    <w:p>
      <w:r>
        <w:rPr>
          <w:b/>
          <w:color w:val="998877"/>
          <w:sz w:val="16"/>
        </w:rPr>
        <w:t xml:space="preserve">[BODY] </w:t>
      </w:r>
      <w:r>
        <w:t>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
        <w:rPr>
          <w:b/>
          <w:color w:val="998877"/>
          <w:sz w:val="16"/>
        </w:rPr>
        <w:t xml:space="preserve">[BODY] </w:t>
      </w:r>
      <w:r>
        <w:t>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Five hundred seats, one meter</w:t>
      </w:r>
    </w:p>
    <w:p>
      <w:r>
        <w:rPr>
          <w:b/>
          <w:color w:val="998877"/>
          <w:sz w:val="16"/>
        </w:rPr>
        <w:t xml:space="preserve">[BODY] </w:t>
      </w:r>
      <w:r>
        <w:t>A company purchases an AI coding assistant for five hundred employees at a fixed annual price per seat. The contract contains no token charges, and the finance team records the entire purchase as software expense. Over the next year, some employees use the assistant occasionally while others use it throughout the workday.</w:t>
      </w:r>
    </w:p>
    <w:p>
      <w:r>
        <w:rPr>
          <w:b/>
          <w:color w:val="998877"/>
          <w:sz w:val="16"/>
        </w:rPr>
        <w:t xml:space="preserve">[BODY] </w:t>
      </w:r>
      <w:r>
        <w:t>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
        <w:rPr>
          <w:b/>
          <w:color w:val="998877"/>
          <w:sz w:val="16"/>
        </w:rPr>
        <w:t xml:space="preserve">[SUBHEAD] </w:t>
      </w:r>
      <w:r>
        <w:t>Model answer</w:t>
      </w:r>
    </w:p>
    <w:p>
      <w:r>
        <w:rPr>
          <w:b/>
          <w:color w:val="998877"/>
          <w:sz w:val="16"/>
        </w:rPr>
        <w:t xml:space="preserve">[BODY] </w:t>
      </w:r>
      <w:r>
        <w:t>The company pays for the AI coding assistant by the seat, but the seat is the commercial pricing unit, not the underlying unit of consumption. The five hundred employees do not consume the same amount of AI simply because the company purchases five hundred licenses. An employee who uses the assistant several times a month generates far less activity than one who relies on it throughout the workday.</w:t>
      </w:r>
    </w:p>
    <w:p>
      <w:r>
        <w:rPr>
          <w:b/>
          <w:color w:val="998877"/>
          <w:sz w:val="16"/>
        </w:rPr>
        <w:t xml:space="preserve">[BODY] </w:t>
      </w:r>
      <w:r>
        <w:t>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
        <w:rPr>
          <w:b/>
          <w:color w:val="998877"/>
          <w:sz w:val="16"/>
        </w:rPr>
        <w:t xml:space="preserve">[BODY] </w:t>
      </w:r>
      <w:r>
        <w:t>Seat count therefore conceals the actual cost driver. Two companies may each purchase five hundred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
        <w:rPr>
          <w:b/>
          <w:color w:val="998877"/>
          <w:sz w:val="16"/>
        </w:rPr>
        <w:t xml:space="preserve">[BODY] </w:t>
      </w:r>
      <w:r>
        <w:t>Under the resource consumption model, the meter has not disappeared. It has moved to the provider’s side of the transaction. The company sees a fixed software price, while the provider sees the flow of consumption events that the price must cover.</w:t>
      </w:r>
    </w:p>
    <w:p>
      <w:r>
        <w:rPr>
          <w:b/>
          <w:color w:val="998877"/>
          <w:sz w:val="16"/>
        </w:rPr>
        <w:t xml:space="preserve">[SUBHEAD] </w:t>
      </w:r>
      <w:r>
        <w:t>Annotated reasoning</w:t>
      </w:r>
    </w:p>
    <w:p>
      <w:r>
        <w:rPr>
          <w:b/>
          <w:color w:val="998877"/>
          <w:sz w:val="16"/>
        </w:rPr>
        <w:t xml:space="preserve">[BODY] </w:t>
      </w:r>
      <w:r>
        <w:t>The response begins by separating the commercial pricing unit from the underlying consumption unit. The company buys five hundred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company has deployed an AI coding assistant to three hundred developers. The assistant provides inline code completions, answers questions in the editor, and can perform multi-step agentic tasks. Produce the consumption-event inventory for the deployment.</w:t>
      </w:r>
    </w:p>
    <w:p>
      <w:r>
        <w:rPr>
          <w:b/>
          <w:color w:val="998877"/>
          <w:sz w:val="16"/>
        </w:rPr>
        <w:t xml:space="preserve">[SUBHEAD] </w:t>
      </w:r>
      <w:r>
        <w:t>Model inventory</w:t>
      </w:r>
    </w:p>
    <w:p>
      <w:r>
        <w:rPr>
          <w:b/>
          <w:color w:val="998877"/>
          <w:sz w:val="16"/>
        </w:rPr>
        <w:t xml:space="preserve">[BODY] </w:t>
      </w:r>
      <w:r>
        <w:t>Event types:</w:t>
      </w:r>
    </w:p>
    <w:p>
      <w:r>
        <w:rPr>
          <w:b/>
          <w:color w:val="998877"/>
          <w:sz w:val="16"/>
        </w:rPr>
        <w:t xml:space="preserve">[BODY] </w:t>
      </w:r>
      <w:r>
        <w:t>(a) Inline completion: triggered as a developer types and the assistant generates a code suggestion.</w:t>
      </w:r>
    </w:p>
    <w:p>
      <w:r>
        <w:rPr>
          <w:b/>
          <w:color w:val="998877"/>
          <w:sz w:val="16"/>
        </w:rPr>
        <w:t xml:space="preserve">[BODY] </w:t>
      </w:r>
      <w:r>
        <w:t>(b) Editor chat query: triggered when a developer asks the assistant a question.</w:t>
      </w:r>
    </w:p>
    <w:p>
      <w:r>
        <w:rPr>
          <w:b/>
          <w:color w:val="998877"/>
          <w:sz w:val="16"/>
        </w:rPr>
        <w:t xml:space="preserve">[BODY] </w:t>
      </w:r>
      <w:r>
        <w:t>(c) Agentic task run: triggered when a developer delegates a multi-step task to the assistant.</w:t>
      </w:r>
    </w:p>
    <w:p>
      <w:r>
        <w:rPr>
          <w:b/>
          <w:color w:val="998877"/>
          <w:sz w:val="16"/>
        </w:rPr>
        <w:t xml:space="preserve">[BODY] </w:t>
      </w:r>
      <w:r>
        <w:t>Resource drivers:</w:t>
      </w:r>
    </w:p>
    <w:p>
      <w:r>
        <w:rPr>
          <w:b/>
          <w:color w:val="998877"/>
          <w:sz w:val="16"/>
        </w:rPr>
        <w:t xml:space="preserve">[BODY] </w:t>
      </w:r>
      <w:r>
        <w:t>Inline completions consume input tokens from the surrounding code context and output tokens from the generated suggestion. Each event may be small, but the total volume can be high because completions occur repeatedly throughout the workday.</w:t>
      </w:r>
    </w:p>
    <w:p>
      <w:r>
        <w:rPr>
          <w:b/>
          <w:color w:val="998877"/>
          <w:sz w:val="16"/>
        </w:rPr>
        <w:t xml:space="preserve">[BODY] </w:t>
      </w:r>
      <w:r>
        <w:t>Editor chat queries consume input tokens from the developer’s question and any code or file context supplied with it. They also consume output tokens from the assistant’s response.</w:t>
      </w:r>
    </w:p>
    <w:p>
      <w:r>
        <w:rPr>
          <w:b/>
          <w:color w:val="998877"/>
          <w:sz w:val="16"/>
        </w:rPr>
        <w:t xml:space="preserve">[BODY] </w:t>
      </w:r>
      <w:r>
        <w:t>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
        <w:rPr>
          <w:b/>
          <w:color w:val="998877"/>
          <w:sz w:val="16"/>
        </w:rPr>
        <w:t xml:space="preserve">[BODY] </w:t>
      </w:r>
      <w:r>
        <w:t>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
        <w:rPr>
          <w:b/>
          <w:color w:val="998877"/>
          <w:sz w:val="16"/>
        </w:rPr>
        <w:t xml:space="preserve">[BODY] </w:t>
      </w:r>
      <w:r>
        <w:t>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
        <w:rPr>
          <w:b/>
          <w:color w:val="998877"/>
          <w:sz w:val="16"/>
        </w:rPr>
        <w:t xml:space="preserve">[BODY] </w:t>
      </w:r>
      <w:r>
        <w:t>The important cost drivers are therefore the number, type, and intensity of consumption events. In this deployment, agentic task volume and length are likely to be especially important. The seat count reveals none of that variation.</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for each contract submitted, extracts key clauses,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