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AIOM_Ch01_redraft.html</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are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For the team’s heaviest users, the people getting the most value, the credit was consumed in a handful of prompts, after which additional usage was priced at the same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 the company behind Cursor ,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that customer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 ’s scale changed how the pricing correction arrived, but not whether the underlying economics required it. On January 28, 2026, four months before that change, the company told investors on its earnings call that Copilot had passed 4.7 million paid subscribers and was growing 75 percent year over year. If a provider can fund the gap between a flat price and the cost of the resource that price buys, then it controls the timing and the form of the correction. That control is what buys advance notice, a published schedule, and tooling that shows customers the effect before it lands. If a provider cannot fund the gap, the gap sets the timing instead.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They made an error of category. They bought access to a metered resource but managed it as conventional licensed software, assuming that the subscription price fixed the cost.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896533"/>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896533"/>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The seat model is the software access model defined in 1.1. The event model is the resource consumption model, in which each use is a metered consumption event. Figure 1.2 makes visible the difference that a flat subscription price can hide. Under the software access model, the buyer pays a fixed price for access, regardless of how much the software is used. Under the resource consumption model, every use adds to the total cost.</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One objection stands against everything said so far: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w:t>
      </w:r>
    </w:p>
    <w:p>
      <w:r>
        <w:rPr>
          <w:b/>
          <w:color w:val="998877"/>
          <w:sz w:val="16"/>
        </w:rPr>
        <w:t xml:space="preserve">[BODY] </w:t>
      </w:r>
      <w:r>
        <w:t>The fourth condition asks only that the resource use be measured somewhere, not that the buyer can see it. A provider’s meter satisfies that condition even when the invoice shows a single flat charge. The business is operating a resource-consuming activity, not merely accessing software.</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subscribers used them more than the price had assumed.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The five questions therefore go unanswered, and the reason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five thousand agents, each handling forty contacts on a working day, with six drafted replies per contact, one retrieval per drafted reply, and twenty-one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Category error</w:t>
      </w:r>
    </w:p>
    <w:p>
      <w:r>
        <w:rPr>
          <w:b/>
          <w:color w:val="998877"/>
          <w:sz w:val="16"/>
        </w:rPr>
        <w:t xml:space="preserve">[BODY] </w:t>
      </w:r>
      <w:r>
        <w:t>The error of managing a metered resource as if it were licensed software. It rests on a false assumption: that the access price fixes the total cost. The tool is the right one and the vendor is not at fault. The economic model applied to the tool is wrong.</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each user consumes.</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Five hundred seats, one meter</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answer</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five hundred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