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AI Operations Management: Specification Addendum v1.0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Amends: Consolidated Specification v1.0 (compiled July 20, 2026).</w:t>
      </w:r>
    </w:p>
    <w:p w:rsidR="00000000" w:rsidDel="00000000" w:rsidP="00000000" w:rsidRDefault="00000000" w:rsidRPr="00000000" w14:paraId="00000004">
      <w:pPr>
        <w:rPr/>
      </w:pPr>
      <w:r w:rsidDel="00000000" w:rsidR="00000000" w:rsidRPr="00000000">
        <w:rPr>
          <w:rtl w:val="0"/>
        </w:rPr>
        <w:t xml:space="preserve">Occasion: external review feedback (six independent reviews, A through F) evaluated July 21, 2026 under the standing rule that feedback may add to the project but may not subtract from it or move it off the core path.</w:t>
      </w:r>
    </w:p>
    <w:p w:rsidR="00000000" w:rsidDel="00000000" w:rsidP="00000000" w:rsidRDefault="00000000" w:rsidRPr="00000000" w14:paraId="00000005">
      <w:pPr>
        <w:rPr/>
      </w:pPr>
      <w:r w:rsidDel="00000000" w:rsidR="00000000" w:rsidRPr="00000000">
        <w:rPr>
          <w:rtl w:val="0"/>
        </w:rPr>
        <w:t xml:space="preserve">Author of decisions: Dan (Daniel S. Wipert, Chorus AI Systems).</w:t>
      </w:r>
    </w:p>
    <w:p w:rsidR="00000000" w:rsidDel="00000000" w:rsidP="00000000" w:rsidRDefault="00000000" w:rsidRPr="00000000" w14:paraId="00000006">
      <w:pPr>
        <w:rPr/>
      </w:pPr>
      <w:r w:rsidDel="00000000" w:rsidR="00000000" w:rsidRPr="00000000">
        <w:rPr>
          <w:rtl w:val="0"/>
        </w:rPr>
        <w:t xml:space="preserve">Effect: Consolidated Specification v1.0 plus this addendum constitutes the complete pre-drafting state. Nothing in the locked foundation changes. Seven decisions were ruled (Decisions 15 through 21, continuing the decision log from Decision 14). Milestones M2 and M3 grow slightly in scope; no milestone moves.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Review disposition summary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six reviews converged on three "test next" items: a drafted Chapter 1, a registry integration pass, and the Northmoor numerical build. These are milestones M4, M2, and M3 as already sequenced. The dominant criticism, that too much is locked before validation, is answered by the milestone plan itself and required no action.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 reviewer challenged the two-layer architecture, the buyer-side spine, the chapter order, or the six-slot skeleton as concepts. Seven additive items were ruled in (Section 2). Four items were rejected (Section 5). Two items were absorbed as drafting notes without spec change (Section 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Decisions ruled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Decision 15. FinOps boundary treaty plus organizational archetypes (amends Chapter 14 outline)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boundary treaty remains the canonical teaching spine of Chapter 14. Following it, a compact variations section (two to four pages) presents five organizational archetypes: centralized FinOps-led, platform-engineering-led, business-unit product model, AI Center of Excellence, and federated enterprise. Each archetype receives a short treatment: who holds which treaty responsibilities, the characteristic conflict point, and the minimum artifacts that must exist regardless of owner.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Framing principle, stated in the chapter: the treaty defines the responsibilities that must be assigned; the archetypes show the assignments varying while the responsibilities do not. The discipline is defined by its artifacts and accountabilities, not by a box on the org chart.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Rejected alternative: replacing the treaty with archetypes (subtractive) and full per-archetype RACI treatment in body prose (training-manual register). RACI detail may later live in instructor material or a problem-set exercise if needed.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Decision 16. Registry-to-manuscript validation matrix (amends M2 scope)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M2 changes from a loading task to a load-and-audit task. During registry integration, a validation matrix is built covering all 28 theorems and lemmas reproduced in Appendix A. Columns per row: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Exact statement as it appears in Locked Registry v1.3</w:t>
      </w:r>
    </w:p>
    <w:p w:rsidR="00000000" w:rsidDel="00000000" w:rsidP="00000000" w:rsidRDefault="00000000" w:rsidRPr="00000000" w14:paraId="00000021">
      <w:pPr>
        <w:rPr/>
      </w:pPr>
      <w:r w:rsidDel="00000000" w:rsidR="00000000" w:rsidRPr="00000000">
        <w:rPr>
          <w:rtl w:val="0"/>
        </w:rPr>
        <w:t xml:space="preserve">- Scope conditions and stated exceptions</w:t>
      </w:r>
    </w:p>
    <w:p w:rsidR="00000000" w:rsidDel="00000000" w:rsidP="00000000" w:rsidRDefault="00000000" w:rsidRPr="00000000" w14:paraId="00000022">
      <w:pPr>
        <w:rPr/>
      </w:pPr>
      <w:r w:rsidDel="00000000" w:rsidR="00000000" w:rsidRPr="00000000">
        <w:rPr>
          <w:rtl w:val="0"/>
        </w:rPr>
        <w:t xml:space="preserve">- Dependent chapters and figures (seeded from the existing theorem map)</w:t>
      </w:r>
    </w:p>
    <w:p w:rsidR="00000000" w:rsidDel="00000000" w:rsidP="00000000" w:rsidRDefault="00000000" w:rsidRPr="00000000" w14:paraId="00000023">
      <w:pPr>
        <w:rPr/>
      </w:pPr>
      <w:r w:rsidDel="00000000" w:rsidR="00000000" w:rsidRPr="00000000">
        <w:rPr>
          <w:rtl w:val="0"/>
        </w:rPr>
        <w:t xml:space="preserve">- Revision trigger: what would need rework if the claim weakens or its conditions bind tighter than the chapter outline assumed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matrix is a working artifact for the project, never book content. It also serves as the standing answer sheet for any future reviewer challenge to a theorem.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Decision 17. Evidence taxonomy as a teachable element (amends Chapter 6 outline and case-box format)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Chapter 6's teaching body gains a compact evidence taxonomy (one to two pages plus one small figure or table). Classes: descriptive observation, company self-report, survey result, financial disclosure, natural experiment, controlled study, causal inference with stated assumptions.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Featured cases thereafter carry a one-line evidence-class tag in their dated boxes. The taxonomy arms the Chapter 12 claimed-versus-realized distinction and becomes a grading criterion in the Chapter 15 C-suite briefing exercise.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Boundary held: the taxonomy is a tool the book uses, not a framework the book argues for. It is presented briefly and then simply used; it is never elaborated into its own apparatus.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Decision 18. Northmoor engineered ambiguity (amends Northmoor dataset spec and M3 scope)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Northmoor property list extends from A through F to A through 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**Property G.** A provider invoice with an unreconcilable residual within a defined, seeded band. Honest effort narrows but does not close the residual.</w:t>
      </w:r>
    </w:p>
    <w:p w:rsidR="00000000" w:rsidDel="00000000" w:rsidP="00000000" w:rsidRDefault="00000000" w:rsidRPr="00000000" w14:paraId="00000034">
      <w:pPr>
        <w:rPr/>
      </w:pPr>
      <w:r w:rsidDel="00000000" w:rsidR="00000000" w:rsidRPr="00000000">
        <w:rPr>
          <w:rtl w:val="0"/>
        </w:rPr>
        <w:t xml:space="preserve">- **Property H.** One workflow whose value column is structurally absent. The correct answer is a bounded "cannot be netted," plus the conditions that would have to exist before netting became possible.</w:t>
      </w:r>
    </w:p>
    <w:p w:rsidR="00000000" w:rsidDel="00000000" w:rsidP="00000000" w:rsidRDefault="00000000" w:rsidRPr="00000000" w14:paraId="00000035">
      <w:pPr>
        <w:rPr/>
      </w:pPr>
      <w:r w:rsidDel="00000000" w:rsidR="00000000" w:rsidRPr="00000000">
        <w:rPr>
          <w:rtl w:val="0"/>
        </w:rPr>
        <w:t xml:space="preserve">- **Property I.** A disputed attribution basis where two bases each survive challenge. Grading rests on stated assumptions, alternatives considered, and decision rationale, not on the choice itself.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Answer keys for G, H, and I grade reasoning rather than answer-matching.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Two related rulings: the dissenting business sponsor (a sponsor who rejects the measured boundary for legitimate reasons) is implemented as a fourth stakeholder transcript in the Chapter 13 T0 diagnostic packet, not as a generator element. The routing-quality tension (cheaper route harming a material quality outcome) is checked against the existing routing-economics property during the M3 build and added only if not already present.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Decision 19. Instructor course map (amends front matter plan, M19)</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Front matter gains a one-page course map for a 14-week term: chapter-per-week pacing, two designated compression points (Chapters 4 and 14 as candidates, to be verified against the competency map during drafting), placement of the three cumulative cases and the Chapter 15 final exam, core-versus-extension problem designations, and one paragraph positioning the registry appendix as reference apparatus.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page is written as a pacing instrument within the dependency chain, never as a reduced chapter set. The chapter order is a dependency claim; the course map compresses, it does not prune.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full instructor's guide is explicitly deferred to post-manuscript work. Seed material when that day comes: this course map and the Northmoor answer keys.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Decision 20. Reader assumptions statement (amends preface plan and Part B)</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preface gains a titled subsection, "What this book assumes you know," under half a page, covering three baselines: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**AI systems:** the reader has used AI tools, does not know internals, and does not need to.</w:t>
      </w:r>
    </w:p>
    <w:p w:rsidR="00000000" w:rsidDel="00000000" w:rsidP="00000000" w:rsidRDefault="00000000" w:rsidRPr="00000000" w14:paraId="00000048">
      <w:pPr>
        <w:rPr/>
      </w:pPr>
      <w:r w:rsidDel="00000000" w:rsidR="00000000" w:rsidRPr="00000000">
        <w:rPr>
          <w:rtl w:val="0"/>
        </w:rPr>
        <w:t xml:space="preserve">- **Finance and accounting:** core MBA coursework; cost allocation, budgeting, unit economics.</w:t>
      </w:r>
    </w:p>
    <w:p w:rsidR="00000000" w:rsidDel="00000000" w:rsidP="00000000" w:rsidRDefault="00000000" w:rsidRPr="00000000" w14:paraId="00000049">
      <w:pPr>
        <w:rPr/>
      </w:pPr>
      <w:r w:rsidDel="00000000" w:rsidR="00000000" w:rsidRPr="00000000">
        <w:rPr>
          <w:rtl w:val="0"/>
        </w:rPr>
        <w:t xml:space="preserve">- **Operations:** nothing formal; the book teaches its own operational vocabulary.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Plus one sentence establishing that the registry apparatus is load-bearing but never the price of admission.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Part B (voice and register) gains the mirror block as drafting law: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&gt; Every chapter explains anything beyond the three assumed-knowledge baselines and nothing beneath them. The baselines: AI systems (tool use assumed, internals not assumed and not required); finance and accounting (core MBA coursework in cost allocation, budgeting, and unit economics assumed); operations (no formal background assumed; the book supplies its own vocabulary). Over-explanation beneath the baseline and under-explanation above it are QA findings, not taste judgments.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Decision 21. Ungrounded artifacts and deviation patterns (amends Chapter 13 outline, maturity model spec, and M3 scope)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Chapter 13's teaching body gains one named concept: **ungrounded artifacts**. Artifacts held above the lowest missing artifact are real assets, not illusions, but they are unverifiable in records until the gap beneath them closes. The stage remains set by the lowest missing artifact; the diagnosis for a non-linear profile is not that higher artifacts do not count, but that they become load-bearing the moment the gap closes. The gap beneath held artifacts is typically the highest-yield next move.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Two or three deviation patterns are treated compactly, each read under the rule: the regulated business holding governance controls before attribution exists; the high-scale product team running metering and routing with no formal value boundary; the startup with strong workflow ownership and no central reporting.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strict ladder and the lowest-missing-artifact rule are untouched. The ladder is a claim about what records can verify, not a claim about how organizations develop; non-linear profiles are where that distinction earns its keep.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M3 gains one requirement: Northmoor at T0 holds at least one ungrounded artifact, so the capstone exercises the reading.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3. Amended milestone scopes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**M2 (registry integration), amended scope.** Load Locked Registry v1.3 and the founding paper; resolve all REGISTRY PULL items to verbatim text; build the 28-row validation matrix per Decision 16. Remains a blocking prerequisite for drafting.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**M3 (Northmoor numerical build), amended scope.** All previously specified deliverables, plus: properties G, H, and I implemented as seeded, assertable generator properties with reasoning-graded answer keys; the fourth stakeholder transcript (dissenting sponsor) in the T0 diagnostic packet; at least one ungrounded artifact seeded into the T0 profile; verification of the routing-quality tension against the existing routing-economics property.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 other milestone changes. M1 (consolidated specification review) is complete as of this addendum.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4. New watch item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**W4. Interface inputs table.** If Chapters 11 and 12 repeatedly need to reference inputs from risk, legal, security, engineering, procurement, product, or finance during drafting, add a one-page interface table specifying the minimum inputs AIOM requires from adjacent functions. Held as a drafting-time decision; not committed now. (Joins watch items 1 through 3 from Consolidated Specification H.3.)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5. Rejected items (no action)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**Relaxing the fixed six-slot skeleton.** Rejected; the skeleton is locked without exception. Clarifying note: the opening-case slot already permits variation in form. A dashboard, a contract clause, or a failed executive memo can serve as the opening case. That is drafting freedom inside the slot, not a structural exception.</w:t>
      </w:r>
    </w:p>
    <w:p w:rsidR="00000000" w:rsidDel="00000000" w:rsidP="00000000" w:rsidRDefault="00000000" w:rsidRPr="00000000" w14:paraId="00000070">
      <w:pPr>
        <w:rPr/>
      </w:pPr>
      <w:r w:rsidDel="00000000" w:rsidR="00000000" w:rsidRPr="00000000">
        <w:rPr>
          <w:rtl w:val="0"/>
        </w:rPr>
        <w:t xml:space="preserve">- **Soft-gating the voice rules.** Rejected. The voice rules exist because a founding document requires a stable register.</w:t>
      </w:r>
    </w:p>
    <w:p w:rsidR="00000000" w:rsidDel="00000000" w:rsidP="00000000" w:rsidRDefault="00000000" w:rsidRPr="00000000" w14:paraId="00000071">
      <w:pPr>
        <w:rPr/>
      </w:pPr>
      <w:r w:rsidDel="00000000" w:rsidR="00000000" w:rsidRPr="00000000">
        <w:rPr>
          <w:rtl w:val="0"/>
        </w:rPr>
        <w:t xml:space="preserve">- **Reconsidering the em-dash ban.** Rejected outright. Standing rule, non-negotiable.</w:t>
      </w:r>
    </w:p>
    <w:p w:rsidR="00000000" w:rsidDel="00000000" w:rsidP="00000000" w:rsidRDefault="00000000" w:rsidRPr="00000000" w14:paraId="00000072">
      <w:pPr>
        <w:rPr/>
      </w:pPr>
      <w:r w:rsidDel="00000000" w:rsidR="00000000" w:rsidRPr="00000000">
        <w:rPr>
          <w:rtl w:val="0"/>
        </w:rPr>
        <w:t xml:space="preserve">- **Softening the founding claim.** Rejected as framing retreat. See Section 6 for the framing note retained from this criticism.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6. Drafting notes absorbed without spec change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**Chapter 3 framing of the founding claim.** The claim is not that nobody governs AI consumption today. It is that no existing discipline integrates workflow-level metering, attribution, allocation, fully loaded cost, and value accountability for deployed AI consumption into one unit of analysis. This is the sharper, non-territorial statement of what the book already argues, and it is the crisp answer to "why not FinOps extended?" carried into the Chapter 3 borders treatment and the Chapter 14 treaty.</w:t>
      </w:r>
    </w:p>
    <w:p w:rsidR="00000000" w:rsidDel="00000000" w:rsidP="00000000" w:rsidRDefault="00000000" w:rsidRPr="00000000" w14:paraId="00000079">
      <w:pPr>
        <w:rPr/>
      </w:pPr>
      <w:r w:rsidDel="00000000" w:rsidR="00000000" w:rsidRPr="00000000">
        <w:rPr>
          <w:rtl w:val="0"/>
        </w:rPr>
        <w:t xml:space="preserve">- **Northland naming diligence, unchanged.** The dataset name remains Northmoor per the prior ruling; no reviewer raised collision concerns.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Closing note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Seven decisions ruled, four items rejected, two drafting notes absorbed, one watch item added. The locked foundation is untouched. The next document produced against the amended specification is the M2 registry integration with validation matrix, followed by the M3 Northmoor numerical build, followed by the Chapter 1 draft.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**Status:** addendum v1.0, final.</w:t>
      </w:r>
    </w:p>
    <w:p w:rsidR="00000000" w:rsidDel="00000000" w:rsidP="00000000" w:rsidRDefault="00000000" w:rsidRPr="00000000" w14:paraId="00000082">
      <w:pPr>
        <w:rPr/>
      </w:pPr>
      <w:r w:rsidDel="00000000" w:rsidR="00000000" w:rsidRPr="00000000">
        <w:rPr>
          <w:rtl w:val="0"/>
        </w:rPr>
        <w:t xml:space="preserve">**Ruled:** July 21, 2026.</w:t>
      </w:r>
    </w:p>
    <w:p w:rsidR="00000000" w:rsidDel="00000000" w:rsidP="00000000" w:rsidRDefault="00000000" w:rsidRPr="00000000" w14:paraId="00000083">
      <w:pPr>
        <w:rPr/>
      </w:pPr>
      <w:r w:rsidDel="00000000" w:rsidR="00000000" w:rsidRPr="00000000">
        <w:rPr>
          <w:rtl w:val="0"/>
        </w:rPr>
        <w:t xml:space="preserve">**Author of decisions:** Dan (Daniel S. Wipert, Chorus AI Systems).</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