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028/2027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2027-04-12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Rui Castro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901.234.567-27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Residencial Oásis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Suíte Master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125,50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Cobertura 801, Bloco A, com 2 vagas.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R$ 555.000,00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R$ 111.000,00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60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2026-09-20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