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glus纠删码修复功能迁移客户端设计文档</w:t>
      </w:r>
    </w:p>
    <w:p>
      <w:pPr>
        <w:jc w:val="center"/>
        <w:rPr>
          <w:rFonts w:hint="eastAsia"/>
          <w:highlight w:val="none"/>
          <w:vertAlign w:val="baseline"/>
          <w:lang w:val="en-US" w:eastAsia="zh-CN"/>
        </w:rPr>
      </w:pPr>
    </w:p>
    <w:p>
      <w:pPr>
        <w:jc w:val="center"/>
        <w:rPr>
          <w:rFonts w:hint="eastAsia"/>
          <w:highlight w:val="none"/>
          <w:vertAlign w:val="baseline"/>
          <w:lang w:val="en-US" w:eastAsia="zh-CN"/>
        </w:rPr>
      </w:pP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2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2020.08.07</w:t>
            </w:r>
          </w:p>
        </w:tc>
        <w:tc>
          <w:tcPr>
            <w:tcW w:w="213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2132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《glus纠删码修复功能迁移客户端设计文档》</w:t>
            </w:r>
          </w:p>
        </w:tc>
        <w:tc>
          <w:tcPr>
            <w:tcW w:w="2132" w:type="dxa"/>
            <w:noWrap w:val="0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张凯敏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noWrap w:val="0"/>
            <w:vAlign w:val="top"/>
          </w:tcPr>
          <w:p/>
        </w:tc>
        <w:tc>
          <w:tcPr>
            <w:tcW w:w="2132" w:type="dxa"/>
            <w:noWrap w:val="0"/>
            <w:vAlign w:val="top"/>
          </w:tcPr>
          <w:p/>
        </w:tc>
        <w:tc>
          <w:tcPr>
            <w:tcW w:w="2132" w:type="dxa"/>
            <w:noWrap w:val="0"/>
            <w:vAlign w:val="top"/>
          </w:tcPr>
          <w:p/>
        </w:tc>
        <w:tc>
          <w:tcPr>
            <w:tcW w:w="2132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noWrap w:val="0"/>
            <w:vAlign w:val="top"/>
          </w:tcPr>
          <w:p/>
        </w:tc>
        <w:tc>
          <w:tcPr>
            <w:tcW w:w="2132" w:type="dxa"/>
            <w:noWrap w:val="0"/>
            <w:vAlign w:val="top"/>
          </w:tcPr>
          <w:p/>
        </w:tc>
        <w:tc>
          <w:tcPr>
            <w:tcW w:w="2132" w:type="dxa"/>
            <w:noWrap w:val="0"/>
            <w:vAlign w:val="top"/>
          </w:tcPr>
          <w:p/>
        </w:tc>
        <w:tc>
          <w:tcPr>
            <w:tcW w:w="2132" w:type="dxa"/>
            <w:noWrap w:val="0"/>
            <w:vAlign w:val="top"/>
          </w:tcPr>
          <w:p/>
        </w:tc>
      </w:tr>
    </w:tbl>
    <w:p>
      <w:pPr>
        <w:outlineLvl w:val="9"/>
        <w:rPr>
          <w:rFonts w:hint="default"/>
          <w:highlight w:val="none"/>
          <w:vertAlign w:val="baseline"/>
          <w:lang w:val="en-US" w:eastAsia="zh-CN"/>
        </w:rPr>
      </w:pPr>
    </w:p>
    <w:p>
      <w:pPr>
        <w:outlineLvl w:val="9"/>
        <w:rPr>
          <w:rFonts w:hint="default"/>
          <w:highlight w:val="none"/>
          <w:vertAlign w:val="baseline"/>
          <w:lang w:val="en-US" w:eastAsia="zh-CN"/>
        </w:rPr>
      </w:pPr>
    </w:p>
    <w:p>
      <w:pPr>
        <w:outlineLvl w:val="9"/>
        <w:rPr>
          <w:rFonts w:hint="default"/>
          <w:highlight w:val="none"/>
          <w:vertAlign w:val="baseline"/>
          <w:lang w:val="en-US" w:eastAsia="zh-CN"/>
        </w:rPr>
      </w:pPr>
    </w:p>
    <w:p>
      <w:pPr>
        <w:outlineLvl w:val="9"/>
        <w:rPr>
          <w:rFonts w:hint="default"/>
          <w:highlight w:val="none"/>
          <w:vertAlign w:val="baseline"/>
          <w:lang w:val="en-US" w:eastAsia="zh-CN"/>
        </w:rPr>
      </w:pPr>
    </w:p>
    <w:p>
      <w:pPr>
        <w:outlineLvl w:val="9"/>
        <w:rPr>
          <w:rFonts w:hint="default"/>
          <w:highlight w:val="none"/>
          <w:vertAlign w:val="baseline"/>
          <w:lang w:val="en-US" w:eastAsia="zh-CN"/>
        </w:rPr>
      </w:pPr>
    </w:p>
    <w:p>
      <w:pPr>
        <w:outlineLvl w:val="9"/>
        <w:rPr>
          <w:rFonts w:hint="default"/>
          <w:highlight w:val="none"/>
          <w:vertAlign w:val="baseline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059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_Toc29508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背景说明</w:t>
          </w:r>
          <w:r>
            <w:tab/>
          </w:r>
          <w:r>
            <w:fldChar w:fldCharType="begin"/>
          </w:r>
          <w:r>
            <w:instrText xml:space="preserve"> PAGEREF _Toc29508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_Toc834 </w:instrText>
          </w:r>
          <w: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方案设计</w:t>
          </w:r>
          <w:r>
            <w:tab/>
          </w:r>
          <w:r>
            <w:fldChar w:fldCharType="begin"/>
          </w:r>
          <w:r>
            <w:instrText xml:space="preserve"> PAGEREF _Toc834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修复说明</w:t>
          </w:r>
          <w:r>
            <w:tab/>
          </w:r>
          <w:r>
            <w:fldChar w:fldCharType="begin"/>
          </w:r>
          <w:r>
            <w:instrText xml:space="preserve"> PAGEREF _Toc14423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详细设计</w:t>
          </w:r>
          <w:r>
            <w:tab/>
          </w:r>
          <w:r>
            <w:fldChar w:fldCharType="begin"/>
          </w:r>
          <w:r>
            <w:instrText xml:space="preserve"> PAGEREF _Toc27421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2.2.1 设计思路</w:t>
          </w:r>
          <w:r>
            <w:tab/>
          </w:r>
          <w:r>
            <w:fldChar w:fldCharType="begin"/>
          </w:r>
          <w:r>
            <w:instrText xml:space="preserve"> PAGEREF _Toc6445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2.2.2 代码细节</w:t>
          </w:r>
          <w:r>
            <w:tab/>
          </w:r>
          <w:r>
            <w:fldChar w:fldCharType="begin"/>
          </w:r>
          <w:r>
            <w:instrText xml:space="preserve"> PAGEREF _Toc18054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2.2.3 方案细节</w:t>
          </w:r>
          <w:r>
            <w:tab/>
          </w:r>
          <w:r>
            <w:fldChar w:fldCharType="begin"/>
          </w:r>
          <w:r>
            <w:instrText xml:space="preserve"> PAGEREF _Toc14293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outlineLvl w:val="9"/>
        <w:rPr>
          <w:rFonts w:hint="default"/>
          <w:highlight w:val="none"/>
          <w:vertAlign w:val="baseline"/>
          <w:lang w:val="en-US" w:eastAsia="zh-CN"/>
        </w:rPr>
      </w:pPr>
      <w:r>
        <w:rPr>
          <w:rFonts w:hint="default"/>
          <w:highlight w:val="none"/>
          <w:vertAlign w:val="baseline"/>
          <w:lang w:val="en-US" w:eastAsia="zh-CN"/>
        </w:rPr>
        <w:br w:type="page"/>
      </w:r>
      <w:bookmarkStart w:id="7" w:name="_GoBack"/>
      <w:bookmarkEnd w:id="7"/>
    </w:p>
    <w:p>
      <w:pPr>
        <w:rPr>
          <w:rFonts w:hint="default"/>
          <w:highlight w:val="none"/>
          <w:vertAlign w:val="baseline"/>
          <w:lang w:val="en-US" w:eastAsia="zh-CN"/>
        </w:rPr>
      </w:pPr>
    </w:p>
    <w:p>
      <w:pPr>
        <w:jc w:val="both"/>
        <w:rPr>
          <w:rFonts w:hint="default"/>
          <w:highlight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default" w:eastAsiaTheme="minorEastAsia"/>
          <w:lang w:val="en-US" w:eastAsia="zh-CN"/>
        </w:rPr>
      </w:pPr>
      <w:bookmarkStart w:id="0" w:name="_Toc29508"/>
      <w:r>
        <w:rPr>
          <w:rFonts w:hint="eastAsia"/>
          <w:lang w:val="en-US" w:eastAsia="zh-CN"/>
        </w:rPr>
        <w:t>背景说明</w:t>
      </w:r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lus目前的应用场景主要是在arm服务器上，数据冗余的方式有纠删和副本两种选择，当数据发生故障需要修复时副本有较好的性能（25MB/s左右）可以满足场景；但是纠删需要大量的纠删码计算，由于arm的内存和cpu性能瓶颈修复数据性能较差（2MB/s-4MB/s），现在使用的磁盘有上T的容量，磁盘损坏修复太耗时间，因此需要考虑重新设计一种数据修复方案来解决此问题。</w:t>
      </w:r>
    </w:p>
    <w:p>
      <w:pPr>
        <w:widowControl w:val="0"/>
        <w:numPr>
          <w:ilvl w:val="0"/>
          <w:numId w:val="1"/>
        </w:numPr>
        <w:ind w:leftChars="0"/>
        <w:jc w:val="both"/>
        <w:outlineLvl w:val="0"/>
        <w:rPr>
          <w:rFonts w:hint="default" w:eastAsiaTheme="minorEastAsia"/>
          <w:lang w:val="en-US" w:eastAsia="zh-CN"/>
        </w:rPr>
      </w:pPr>
      <w:bookmarkStart w:id="1" w:name="_Toc834"/>
      <w:r>
        <w:rPr>
          <w:rFonts w:hint="eastAsia"/>
          <w:lang w:val="en-US" w:eastAsia="zh-CN"/>
        </w:rPr>
        <w:t>方案设计</w:t>
      </w:r>
      <w:bookmarkEnd w:id="1"/>
    </w:p>
    <w:p>
      <w:pPr>
        <w:widowControl w:val="0"/>
        <w:numPr>
          <w:numId w:val="0"/>
        </w:numPr>
        <w:ind w:left="420" w:leftChars="0"/>
        <w:jc w:val="both"/>
        <w:outlineLvl w:val="1"/>
        <w:rPr>
          <w:rFonts w:hint="eastAsia"/>
          <w:lang w:val="en-US" w:eastAsia="zh-CN"/>
        </w:rPr>
      </w:pPr>
      <w:bookmarkStart w:id="2" w:name="_Toc14423"/>
      <w:r>
        <w:rPr>
          <w:rFonts w:hint="eastAsia"/>
          <w:lang w:val="en-US" w:eastAsia="zh-CN"/>
        </w:rPr>
        <w:t>2.1 修复说明</w:t>
      </w:r>
      <w:bookmarkEnd w:id="2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glus集群本身修复功能是专设一个独立的shd服务来完成，分为index和full两种修复数据模式：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index是针对写入过程中磁盘故障或掉线，集群会写入表中，等到磁盘正常之后通过查表来进行修复，具有针对性，不会修复全量数据，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Full是针对已写入的正常数据因为磁盘故障导致的数据丢失，等磁盘更换后会全量修复，具有耗时久，完善度高的特点</w:t>
      </w:r>
    </w:p>
    <w:p>
      <w:pPr>
        <w:widowControl w:val="0"/>
        <w:numPr>
          <w:numId w:val="0"/>
        </w:numPr>
        <w:ind w:firstLine="420" w:firstLineChars="0"/>
        <w:jc w:val="both"/>
        <w:outlineLvl w:val="1"/>
        <w:rPr>
          <w:rFonts w:hint="eastAsia"/>
          <w:lang w:val="en-US" w:eastAsia="zh-CN"/>
        </w:rPr>
      </w:pPr>
      <w:bookmarkStart w:id="3" w:name="_Toc27421"/>
      <w:r>
        <w:rPr>
          <w:rFonts w:hint="eastAsia"/>
          <w:lang w:val="en-US" w:eastAsia="zh-CN"/>
        </w:rPr>
        <w:t>2.2 详细设计</w:t>
      </w:r>
      <w:bookmarkEnd w:id="3"/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2"/>
        <w:rPr>
          <w:rFonts w:hint="eastAsia"/>
          <w:lang w:val="en-US" w:eastAsia="zh-CN"/>
        </w:rPr>
      </w:pPr>
      <w:bookmarkStart w:id="4" w:name="_Toc6445"/>
      <w:r>
        <w:rPr>
          <w:rFonts w:hint="eastAsia"/>
          <w:lang w:val="en-US" w:eastAsia="zh-CN"/>
        </w:rPr>
        <w:t>2.2.1 设计思路</w:t>
      </w:r>
      <w:bookmarkEnd w:id="4"/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的是修复动作由客户端来完成，计划数据检测，命令传达，集群信息校验还是借用原来的模块，再准备工作完成后具体开始修复时将其指向客户端节点，此处需要我们在每个server上提供配置文件，这样集群server任一节点均会判断此条件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2"/>
        <w:rPr>
          <w:rFonts w:hint="eastAsia"/>
          <w:lang w:val="en-US" w:eastAsia="zh-CN"/>
        </w:rPr>
      </w:pPr>
      <w:bookmarkStart w:id="5" w:name="_Toc18054"/>
      <w:r>
        <w:rPr>
          <w:rFonts w:hint="eastAsia"/>
          <w:lang w:val="en-US" w:eastAsia="zh-CN"/>
        </w:rPr>
        <w:t>2.2.2 代码细节</w:t>
      </w:r>
      <w:bookmarkEnd w:id="5"/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在ec-heald.c中，Ec_heal_op操作被调用后，由给定操作来调用ec_shd_index_healer和ec_shd_full_healer，以index_healer为例，syncop_lookup -&gt; syncop_opendir -&gt; syncop_readdir(获取到xattrop下的文件)-&gt; syncop_getxattr，之后开始syncop_mt_dir_scan -&gt;ec_shd_index_heal，每个运行有shd服务的节点均由此流程，由此接下会获取待读写文件的inodelk，此处可以由人工干预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outlineLvl w:val="2"/>
        <w:rPr>
          <w:rFonts w:hint="eastAsia"/>
          <w:lang w:val="en-US" w:eastAsia="zh-CN"/>
        </w:rPr>
      </w:pPr>
      <w:bookmarkStart w:id="6" w:name="_Toc14293"/>
      <w:r>
        <w:rPr>
          <w:rFonts w:hint="eastAsia"/>
          <w:lang w:val="en-US" w:eastAsia="zh-CN"/>
        </w:rPr>
        <w:t>2.2.3 方案细节</w:t>
      </w:r>
      <w:bookmarkEnd w:id="6"/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新增配置文件/var/lib/glusterd/client.conf，配置好客户端节点ip；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将客户端节点也添加到集群中来（会自动拉起shd服务），这样client节点也具有了恢复集群数据的前置条件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在代码细节中添加筛选流程，根据配置文件选择是否由此节点继续进行修复工作。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617BE"/>
    <w:multiLevelType w:val="multilevel"/>
    <w:tmpl w:val="533617B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357EE"/>
    <w:rsid w:val="00B92448"/>
    <w:rsid w:val="01294037"/>
    <w:rsid w:val="01CC606F"/>
    <w:rsid w:val="05A14308"/>
    <w:rsid w:val="06372D0E"/>
    <w:rsid w:val="06546DDD"/>
    <w:rsid w:val="071B16C9"/>
    <w:rsid w:val="073836BA"/>
    <w:rsid w:val="081F54D5"/>
    <w:rsid w:val="0A544ADD"/>
    <w:rsid w:val="0DD85C80"/>
    <w:rsid w:val="11245FBD"/>
    <w:rsid w:val="11EE43C9"/>
    <w:rsid w:val="12B3490E"/>
    <w:rsid w:val="137D3028"/>
    <w:rsid w:val="141F1534"/>
    <w:rsid w:val="14406C4A"/>
    <w:rsid w:val="167E74B2"/>
    <w:rsid w:val="198B4BEC"/>
    <w:rsid w:val="1A895775"/>
    <w:rsid w:val="1ACA6566"/>
    <w:rsid w:val="1AD77596"/>
    <w:rsid w:val="1C694876"/>
    <w:rsid w:val="1E84774F"/>
    <w:rsid w:val="1EEF4D0E"/>
    <w:rsid w:val="21D17948"/>
    <w:rsid w:val="23F1614A"/>
    <w:rsid w:val="25D672DB"/>
    <w:rsid w:val="28A46897"/>
    <w:rsid w:val="2AEA1963"/>
    <w:rsid w:val="2D6A2603"/>
    <w:rsid w:val="2D783B4C"/>
    <w:rsid w:val="2DA1293C"/>
    <w:rsid w:val="317D2BF7"/>
    <w:rsid w:val="31C54DB2"/>
    <w:rsid w:val="324B2AE1"/>
    <w:rsid w:val="32BB71AA"/>
    <w:rsid w:val="32D657C9"/>
    <w:rsid w:val="35405CBD"/>
    <w:rsid w:val="364D2402"/>
    <w:rsid w:val="37784528"/>
    <w:rsid w:val="386E6C05"/>
    <w:rsid w:val="3A014D15"/>
    <w:rsid w:val="3AFA0513"/>
    <w:rsid w:val="3CF951E6"/>
    <w:rsid w:val="3DD85456"/>
    <w:rsid w:val="3EE95083"/>
    <w:rsid w:val="3F393CC1"/>
    <w:rsid w:val="3FB86240"/>
    <w:rsid w:val="403A1726"/>
    <w:rsid w:val="40C30F42"/>
    <w:rsid w:val="40FE23D4"/>
    <w:rsid w:val="41012320"/>
    <w:rsid w:val="41147596"/>
    <w:rsid w:val="41210C0E"/>
    <w:rsid w:val="41965EC5"/>
    <w:rsid w:val="44241A56"/>
    <w:rsid w:val="4520439C"/>
    <w:rsid w:val="45D357EE"/>
    <w:rsid w:val="472A315F"/>
    <w:rsid w:val="475E3C3D"/>
    <w:rsid w:val="47FA2103"/>
    <w:rsid w:val="48093052"/>
    <w:rsid w:val="4AC04647"/>
    <w:rsid w:val="4BF153E4"/>
    <w:rsid w:val="4C76020D"/>
    <w:rsid w:val="4D3A44AE"/>
    <w:rsid w:val="4F6C6EFA"/>
    <w:rsid w:val="4FE3743D"/>
    <w:rsid w:val="50271BCD"/>
    <w:rsid w:val="5465058F"/>
    <w:rsid w:val="54EC386F"/>
    <w:rsid w:val="5573614B"/>
    <w:rsid w:val="558F3FD2"/>
    <w:rsid w:val="563F37FB"/>
    <w:rsid w:val="565C76FA"/>
    <w:rsid w:val="56EF4000"/>
    <w:rsid w:val="571D4266"/>
    <w:rsid w:val="57BB7880"/>
    <w:rsid w:val="589F21C7"/>
    <w:rsid w:val="598757A4"/>
    <w:rsid w:val="5AC27C8A"/>
    <w:rsid w:val="5CF92B54"/>
    <w:rsid w:val="5EE81140"/>
    <w:rsid w:val="5FF670E0"/>
    <w:rsid w:val="5FFF20EF"/>
    <w:rsid w:val="605D3B9D"/>
    <w:rsid w:val="60F24DE6"/>
    <w:rsid w:val="62322A86"/>
    <w:rsid w:val="62856B06"/>
    <w:rsid w:val="63240DFF"/>
    <w:rsid w:val="646D4986"/>
    <w:rsid w:val="64772E9C"/>
    <w:rsid w:val="6B156866"/>
    <w:rsid w:val="6B494F0A"/>
    <w:rsid w:val="6CE06BD4"/>
    <w:rsid w:val="6D2537D6"/>
    <w:rsid w:val="704D5354"/>
    <w:rsid w:val="72223C2C"/>
    <w:rsid w:val="726F37BF"/>
    <w:rsid w:val="73862E46"/>
    <w:rsid w:val="738D3A0F"/>
    <w:rsid w:val="753F1A9A"/>
    <w:rsid w:val="757F571A"/>
    <w:rsid w:val="77DA0E9A"/>
    <w:rsid w:val="78D5537B"/>
    <w:rsid w:val="79C01B6B"/>
    <w:rsid w:val="79FD11B1"/>
    <w:rsid w:val="7AF71732"/>
    <w:rsid w:val="7BAB6916"/>
    <w:rsid w:val="7CDC3E48"/>
    <w:rsid w:val="7DE777BD"/>
    <w:rsid w:val="7F79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2020-07-07T02:01:00Z</dcterms:created>
  <dc:creator>小洛</dc:creator>
  <cp:lastModifiedBy>小洛</cp:lastModifiedBy>
  <dcterms:modified xsi:type="dcterms:W3CDTF">2020-08-07T08:21:32Z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