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11111" w:sz="16" w:space="6"/>
        </w:pBdr>
        <w:tabs>
          <w:tab w:val="right" w:pos="9304"/>
        </w:tabs>
        <w:spacing w:after="60"/>
      </w:pPr>
      <w:r>
        <w:drawing>
          <wp:inline distT="0" distB="0" distL="0" distR="0">
            <wp:extent cx="142875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cs="Inter" w:eastAsia="Inter" w:hAnsi="Inter"/>
          <w:b/>
          <w:bCs/>
          <w:caps/>
          <w:color w:val="323232"/>
          <w:spacing w:val="28"/>
          <w:sz w:val="17"/>
          <w:szCs w:val="17"/>
        </w:rPr>
        <w:t xml:space="preserve">	CAPABILITY STATEMENT · </w:t>
      </w:r>
      <w:r>
        <w:rPr>
          <w:rFonts w:ascii="Inter" w:cs="Inter" w:eastAsia="Inter" w:hAnsi="Inter"/>
          <w:b/>
          <w:bCs/>
          <w:caps/>
          <w:color w:val="EA493F"/>
          <w:spacing w:val="28"/>
          <w:sz w:val="17"/>
          <w:szCs w:val="17"/>
        </w:rPr>
        <w:t xml:space="preserve">2026</w:t>
      </w:r>
    </w:p>
    <w:p>
      <w:pPr>
        <w:spacing w:after="80" w:before="15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EA493F"/>
          <w:spacing w:val="32"/>
          <w:sz w:val="17"/>
          <w:szCs w:val="17"/>
        </w:rPr>
        <w:t xml:space="preserve">Technology, human first</w:t>
      </w:r>
    </w:p>
    <w:p>
      <w:pPr>
        <w:spacing w:after="11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111111"/>
          <w:spacing w:val="-8"/>
          <w:sz w:val="52"/>
          <w:szCs w:val="52"/>
        </w:rPr>
        <w:t xml:space="preserve">We turn enterprise platforms 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111111"/>
          <w:spacing w:val="-8"/>
          <w:sz w:val="52"/>
          <w:szCs w:val="52"/>
        </w:rPr>
        <w:t xml:space="preserve">into 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EA493F"/>
          <w:spacing w:val="-8"/>
          <w:sz w:val="52"/>
          <w:szCs w:val="52"/>
        </w:rPr>
        <w:t xml:space="preserve">human outcomes.</w:t>
      </w:r>
    </w:p>
    <w:tbl>
      <w:tblPr>
        <w:tblW w:type="dxa" w:w="93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2"/>
        <w:gridCol w:w="4652"/>
      </w:tblGrid>
      <w:tr>
        <w:tc>
          <w:tcPr>
            <w:tcW w:type="dxa" w:w="4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21"/>
                <w:szCs w:val="21"/>
              </w:rPr>
              <w:t xml:space="preserve">Mivada is an Australian technology consultancy. We take the platforms that run an enterprise — Workday, payroll, data and AI — and shape them around the people who use them every day.</w:t>
            </w:r>
          </w:p>
        </w:tc>
        <w:tc>
          <w:tcPr>
            <w:tcW w:type="dxa" w:w="46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spacing w:after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21"/>
                <w:szCs w:val="21"/>
              </w:rPr>
              <w:t xml:space="preserve">Founded in 2014 and now 120-plus specialists, we lead onshore in Australia and deliver across India. We measure success in outcomes adopted, not tickets closed.</w:t>
            </w:r>
          </w:p>
        </w:tc>
      </w:tr>
    </w:tbl>
    <w:p>
      <w:pPr>
        <w:spacing w:after="26" w:before="17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EA493F"/>
          <w:spacing w:val="32"/>
          <w:sz w:val="17"/>
          <w:szCs w:val="17"/>
        </w:rPr>
        <w:t xml:space="preserve">What we do</w:t>
      </w:r>
    </w:p>
    <w:p>
      <w:pPr>
        <w:spacing w:after="100" w:before="16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111111"/>
          <w:spacing w:val="-6"/>
          <w:sz w:val="30"/>
          <w:szCs w:val="30"/>
        </w:rPr>
        <w:t xml:space="preserve">Four practices, one 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EA493F"/>
          <w:spacing w:val="-6"/>
          <w:sz w:val="30"/>
          <w:szCs w:val="30"/>
        </w:rPr>
        <w:t xml:space="preserve">operating belief.</w:t>
      </w:r>
    </w:p>
    <w:tbl>
      <w:tblPr>
        <w:tblW w:type="dxa" w:w="93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2"/>
        <w:gridCol w:w="4652"/>
      </w:tblGrid>
      <w:tr>
        <w:tc>
          <w:tcPr>
            <w:tcW w:type="dxa" w:w="4652"/>
            <w:tcBorders>
              <w:top w:val="single" w:color="E4E4E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EA493F"/>
                <w:spacing w:val="-8"/>
                <w:sz w:val="32"/>
                <w:szCs w:val="32"/>
              </w:rPr>
              <w:t xml:space="preserve">01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z w:val="23"/>
                <w:szCs w:val="23"/>
              </w:rPr>
              <w:t xml:space="preserve">Workday &amp; ERP</w:t>
            </w:r>
          </w:p>
          <w:p>
            <w:pPr>
              <w:spacing w:after="0" w:line="264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19"/>
                <w:szCs w:val="19"/>
              </w:rPr>
              <w:t xml:space="preserve">Implementation, optimisation and managed support for Workday HCM, Financials and adjacent ERP.</w:t>
            </w:r>
          </w:p>
        </w:tc>
        <w:tc>
          <w:tcPr>
            <w:tcW w:type="dxa" w:w="4652"/>
            <w:tcBorders>
              <w:top w:val="single" w:color="E4E4E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EA493F"/>
                <w:spacing w:val="-8"/>
                <w:sz w:val="32"/>
                <w:szCs w:val="32"/>
              </w:rPr>
              <w:t xml:space="preserve">02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z w:val="23"/>
                <w:szCs w:val="23"/>
              </w:rPr>
              <w:t xml:space="preserve">Payroll consulting</w:t>
            </w:r>
          </w:p>
          <w:p>
            <w:pPr>
              <w:spacing w:after="0" w:line="264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19"/>
                <w:szCs w:val="19"/>
              </w:rPr>
              <w:t xml:space="preserve">Compliant, accurate payroll across complex awards and multi-entity structures.</w:t>
            </w:r>
          </w:p>
        </w:tc>
      </w:tr>
      <w:tr>
        <w:tc>
          <w:tcPr>
            <w:tcW w:type="dxa" w:w="4652"/>
            <w:tcBorders>
              <w:top w:val="single" w:color="E4E4E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EA493F"/>
                <w:spacing w:val="-8"/>
                <w:sz w:val="32"/>
                <w:szCs w:val="32"/>
              </w:rPr>
              <w:t xml:space="preserve">03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z w:val="23"/>
                <w:szCs w:val="23"/>
              </w:rPr>
              <w:t xml:space="preserve">Data &amp; AI</w:t>
            </w:r>
          </w:p>
          <w:p>
            <w:pPr>
              <w:spacing w:after="0" w:line="264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19"/>
                <w:szCs w:val="19"/>
              </w:rPr>
              <w:t xml:space="preserve">Lakehouse architecture, governed analytics and applied AI on your people and finance data.</w:t>
            </w:r>
          </w:p>
        </w:tc>
        <w:tc>
          <w:tcPr>
            <w:tcW w:type="dxa" w:w="4652"/>
            <w:tcBorders>
              <w:top w:val="single" w:color="E4E4E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EA493F"/>
                <w:spacing w:val="-8"/>
                <w:sz w:val="32"/>
                <w:szCs w:val="32"/>
              </w:rPr>
              <w:t xml:space="preserve">04 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z w:val="23"/>
                <w:szCs w:val="23"/>
              </w:rPr>
              <w:t xml:space="preserve">Intelligent automation</w:t>
            </w:r>
          </w:p>
          <w:p>
            <w:pPr>
              <w:spacing w:after="0" w:line="264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19"/>
                <w:szCs w:val="19"/>
              </w:rPr>
              <w:t xml:space="preserve">RPA, ML and process design combined to remove low-value work.</w:t>
            </w:r>
          </w:p>
        </w:tc>
      </w:tr>
    </w:tbl>
    <w:p>
      <w:pPr>
        <w:spacing w:after="26" w:before="15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EA493F"/>
          <w:spacing w:val="32"/>
          <w:sz w:val="17"/>
          <w:szCs w:val="17"/>
        </w:rPr>
        <w:t xml:space="preserve">How we work — think human first</w:t>
      </w:r>
    </w:p>
    <w:p>
      <w:pPr>
        <w:spacing w:after="100" w:before="16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111111"/>
          <w:spacing w:val="-6"/>
          <w:sz w:val="30"/>
          <w:szCs w:val="30"/>
        </w:rPr>
        <w:t xml:space="preserve">Understand the people 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EA493F"/>
          <w:spacing w:val="-6"/>
          <w:sz w:val="30"/>
          <w:szCs w:val="30"/>
        </w:rPr>
        <w:t xml:space="preserve">before the technology.</w:t>
      </w:r>
    </w:p>
    <w:tbl>
      <w:tblPr>
        <w:tblW w:type="dxa" w:w="93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EA493F"/>
                <w:spacing w:val="30"/>
                <w:sz w:val="15"/>
                <w:szCs w:val="15"/>
              </w:rPr>
              <w:t xml:space="preserve">Step 01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pacing w:val="-6"/>
                <w:sz w:val="30"/>
                <w:szCs w:val="30"/>
              </w:rPr>
              <w:t xml:space="preserve">Listen</w:t>
            </w:r>
          </w:p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17"/>
                <w:szCs w:val="17"/>
              </w:rPr>
              <w:t xml:space="preserve">Understand the people and the work before the technology.</w:t>
            </w:r>
          </w:p>
        </w:tc>
        <w:tc>
          <w:tcPr>
            <w:tcW w:type="dxa" w:w="2326"/>
            <w:tcBorders>
              <w:top w:val="none" w:color="FFFFFF" w:sz="0"/>
              <w:left w:val="single" w:color="E4E4E0" w:sz="6"/>
              <w:bottom w:val="none" w:color="FFFFFF" w:sz="0"/>
              <w:right w:val="none" w:color="FFFFFF" w:sz="0"/>
            </w:tcBorders>
            <w:tcMar>
              <w:top w:type="dxa" w:w="40"/>
              <w:left w:type="dxa" w:w="150"/>
              <w:bottom w:type="dxa" w:w="4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EA493F"/>
                <w:spacing w:val="30"/>
                <w:sz w:val="15"/>
                <w:szCs w:val="15"/>
              </w:rPr>
              <w:t xml:space="preserve">Step 02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pacing w:val="-6"/>
                <w:sz w:val="30"/>
                <w:szCs w:val="30"/>
              </w:rPr>
              <w:t xml:space="preserve">Design</w:t>
            </w:r>
          </w:p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17"/>
                <w:szCs w:val="17"/>
              </w:rPr>
              <w:t xml:space="preserve">Shape the platform around how teams actually operate.</w:t>
            </w:r>
          </w:p>
        </w:tc>
        <w:tc>
          <w:tcPr>
            <w:tcW w:type="dxa" w:w="2326"/>
            <w:tcBorders>
              <w:top w:val="none" w:color="FFFFFF" w:sz="0"/>
              <w:left w:val="single" w:color="E4E4E0" w:sz="6"/>
              <w:bottom w:val="none" w:color="FFFFFF" w:sz="0"/>
              <w:right w:val="none" w:color="FFFFFF" w:sz="0"/>
            </w:tcBorders>
            <w:tcMar>
              <w:top w:type="dxa" w:w="40"/>
              <w:left w:type="dxa" w:w="150"/>
              <w:bottom w:type="dxa" w:w="4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EA493F"/>
                <w:spacing w:val="30"/>
                <w:sz w:val="15"/>
                <w:szCs w:val="15"/>
              </w:rPr>
              <w:t xml:space="preserve">Step 03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pacing w:val="-6"/>
                <w:sz w:val="30"/>
                <w:szCs w:val="30"/>
              </w:rPr>
              <w:t xml:space="preserve">Deliver</w:t>
            </w:r>
          </w:p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17"/>
                <w:szCs w:val="17"/>
              </w:rPr>
              <w:t xml:space="preserve">Implement in weeks-long increments, not multi-year programs.</w:t>
            </w:r>
          </w:p>
        </w:tc>
        <w:tc>
          <w:tcPr>
            <w:tcW w:type="dxa" w:w="2326"/>
            <w:tcBorders>
              <w:top w:val="none" w:color="FFFFFF" w:sz="0"/>
              <w:left w:val="single" w:color="E4E4E0" w:sz="6"/>
              <w:bottom w:val="none" w:color="FFFFFF" w:sz="0"/>
              <w:right w:val="none" w:color="FFFFFF" w:sz="0"/>
            </w:tcBorders>
            <w:tcMar>
              <w:top w:type="dxa" w:w="40"/>
              <w:left w:type="dxa" w:w="150"/>
              <w:bottom w:type="dxa" w:w="4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EA493F"/>
                <w:spacing w:val="30"/>
                <w:sz w:val="15"/>
                <w:szCs w:val="15"/>
              </w:rPr>
              <w:t xml:space="preserve">Step 04</w:t>
            </w:r>
          </w:p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pacing w:val="-6"/>
                <w:sz w:val="30"/>
                <w:szCs w:val="30"/>
              </w:rPr>
              <w:t xml:space="preserve">Care</w:t>
            </w:r>
          </w:p>
          <w:p>
            <w:pPr>
              <w:spacing w:after="0" w:line="252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23232"/>
                <w:sz w:val="17"/>
                <w:szCs w:val="17"/>
              </w:rPr>
              <w:t xml:space="preserve">Stay on after go-live; measure outcomes, not tickets.</w:t>
            </w:r>
          </w:p>
        </w:tc>
      </w:tr>
    </w:tbl>
    <w:p>
      <w:pPr>
        <w:spacing w:after="0" w:before="120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111111"/>
          <w:sz w:val="4"/>
          <w:szCs w:val="4"/>
        </w:rPr>
        <w:t xml:space="preserve"/>
      </w:r>
    </w:p>
    <w:tbl>
      <w:tblPr>
        <w:tblW w:type="dxa" w:w="93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4"/>
      </w:tblGrid>
      <w:tr>
        <w:tc>
          <w:tcPr>
            <w:tcW w:type="dxa" w:w="9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170"/>
              <w:left w:type="dxa" w:w="220"/>
              <w:bottom w:type="dxa" w:w="17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EA493F"/>
                <w:spacing w:val="32"/>
                <w:sz w:val="17"/>
                <w:szCs w:val="17"/>
              </w:rPr>
              <w:t xml:space="preserve">Selected capabilities — Data &amp; AI</w:t>
            </w:r>
          </w:p>
          <w:p>
            <w:pPr>
              <w:spacing w:after="14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pacing w:val="-6"/>
                <w:sz w:val="30"/>
                <w:szCs w:val="30"/>
              </w:rPr>
              <w:t xml:space="preserve">The data foundation for current-data decisions.</w:t>
            </w:r>
          </w:p>
          <w:p>
            <w:pPr>
              <w:spacing w:after="90" w:line="26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EA493F"/>
                <w:spacing w:val="26"/>
                <w:sz w:val="16"/>
                <w:szCs w:val="16"/>
              </w:rPr>
              <w:t xml:space="preserve">ARCHITECTURE  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Certified consultants design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Lakehouse architectures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 on your people and finance data.</w:t>
            </w:r>
          </w:p>
          <w:p>
            <w:pPr>
              <w:spacing w:after="90" w:line="26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EA493F"/>
                <w:spacing w:val="26"/>
                <w:sz w:val="16"/>
                <w:szCs w:val="16"/>
              </w:rPr>
              <w:t xml:space="preserve">PIPELINES  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Build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Delta Lake pipelines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 — batch and streaming — on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Databricks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.</w:t>
            </w:r>
          </w:p>
          <w:p>
            <w:pPr>
              <w:spacing w:after="90" w:line="26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EA493F"/>
                <w:spacing w:val="26"/>
                <w:sz w:val="16"/>
                <w:szCs w:val="16"/>
              </w:rPr>
              <w:t xml:space="preserve">INTEGRATION  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Integrate Databricks with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Workday, payroll and finance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.</w:t>
            </w:r>
          </w:p>
          <w:p>
            <w:pPr>
              <w:spacing w:after="90" w:line="26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EA493F"/>
                <w:spacing w:val="26"/>
                <w:sz w:val="16"/>
                <w:szCs w:val="16"/>
              </w:rPr>
              <w:t xml:space="preserve">OUTCOME  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Deliver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governed KPI stores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 and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real-time insight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E2E2E2"/>
                <w:sz w:val="19"/>
                <w:szCs w:val="19"/>
              </w:rPr>
              <w:t xml:space="preserve">.</w:t>
            </w:r>
          </w:p>
        </w:tc>
      </w:tr>
    </w:tbl>
    <w:p>
      <w:pPr>
        <w:pBdr>
          <w:left w:val="single" w:color="EA493F" w:sz="30" w:space="14"/>
        </w:pBdr>
        <w:spacing w:after="30" w:before="130" w:line="264"/>
        <w:ind w:left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EA493F"/>
          <w:spacing w:val="-6"/>
          <w:sz w:val="31"/>
          <w:szCs w:val="31"/>
        </w:rPr>
        <w:t xml:space="preserve">“They delivered in weeks what we'd scoped for a year — and our team actually uses it.”</w:t>
      </w:r>
    </w:p>
    <w:p>
      <w:pPr>
        <w:pBdr>
          <w:left w:val="single" w:color="EA493F" w:sz="30" w:space="14"/>
        </w:pBdr>
        <w:spacing w:after="40"/>
        <w:ind w:left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AEAEAE"/>
          <w:sz w:val="17"/>
          <w:szCs w:val="17"/>
        </w:rPr>
        <w:t xml:space="preserve">People &amp; Payroll Director · national employer (illustrative)</w:t>
      </w:r>
    </w:p>
    <w:p>
      <w:pPr>
        <w:spacing w:after="30" w:before="11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EA493F"/>
          <w:spacing w:val="32"/>
          <w:sz w:val="17"/>
          <w:szCs w:val="17"/>
        </w:rPr>
        <w:t xml:space="preserve">By the numbers</w:t>
      </w:r>
    </w:p>
    <w:tbl>
      <w:tblPr>
        <w:tblW w:type="dxa" w:w="93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26"/>
        <w:gridCol w:w="2326"/>
        <w:gridCol w:w="2326"/>
        <w:gridCol w:w="2326"/>
      </w:tblGrid>
      <w:tr>
        <w:tc>
          <w:tcPr>
            <w:tcW w:type="dxa" w:w="2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pacing w:val="-10"/>
                <w:sz w:val="46"/>
                <w:szCs w:val="46"/>
              </w:rPr>
              <w:t xml:space="preserve">40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EA493F"/>
                <w:spacing w:val="-10"/>
                <w:sz w:val="46"/>
                <w:szCs w:val="46"/>
              </w:rPr>
              <w:t xml:space="preserve">+</w:t>
            </w:r>
          </w:p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AEAEAE"/>
                <w:spacing w:val="22"/>
                <w:sz w:val="15"/>
                <w:szCs w:val="15"/>
              </w:rPr>
              <w:t xml:space="preserve">WORKDAY DEPLOYMENTS</w:t>
            </w:r>
          </w:p>
        </w:tc>
        <w:tc>
          <w:tcPr>
            <w:tcW w:type="dxa" w:w="2326"/>
            <w:tcBorders>
              <w:top w:val="none" w:color="FFFFFF" w:sz="0"/>
              <w:left w:val="single" w:color="E4E4E0" w:sz="6"/>
              <w:bottom w:val="none" w:color="FFFFFF" w:sz="0"/>
              <w:right w:val="none" w:color="FFFFFF" w:sz="0"/>
            </w:tcBorders>
            <w:tcMar>
              <w:top w:type="dxa" w:w="20"/>
              <w:left w:type="dxa" w:w="150"/>
              <w:bottom w:type="dxa" w:w="2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pacing w:val="-10"/>
                <w:sz w:val="46"/>
                <w:szCs w:val="46"/>
              </w:rPr>
              <w:t xml:space="preserve">98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EA493F"/>
                <w:spacing w:val="-10"/>
                <w:sz w:val="46"/>
                <w:szCs w:val="46"/>
              </w:rPr>
              <w:t xml:space="preserve">%</w:t>
            </w:r>
          </w:p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AEAEAE"/>
                <w:spacing w:val="22"/>
                <w:sz w:val="15"/>
                <w:szCs w:val="15"/>
              </w:rPr>
              <w:t xml:space="preserve">CLIENT RETENTION</w:t>
            </w:r>
          </w:p>
        </w:tc>
        <w:tc>
          <w:tcPr>
            <w:tcW w:type="dxa" w:w="2326"/>
            <w:tcBorders>
              <w:top w:val="none" w:color="FFFFFF" w:sz="0"/>
              <w:left w:val="single" w:color="E4E4E0" w:sz="6"/>
              <w:bottom w:val="none" w:color="FFFFFF" w:sz="0"/>
              <w:right w:val="none" w:color="FFFFFF" w:sz="0"/>
            </w:tcBorders>
            <w:tcMar>
              <w:top w:type="dxa" w:w="20"/>
              <w:left w:type="dxa" w:w="150"/>
              <w:bottom w:type="dxa" w:w="2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pacing w:val="-10"/>
                <w:sz w:val="46"/>
                <w:szCs w:val="46"/>
              </w:rPr>
              <w:t xml:space="preserve">120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EA493F"/>
                <w:spacing w:val="-10"/>
                <w:sz w:val="46"/>
                <w:szCs w:val="46"/>
              </w:rPr>
              <w:t xml:space="preserve">+</w:t>
            </w:r>
          </w:p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AEAEAE"/>
                <w:spacing w:val="22"/>
                <w:sz w:val="15"/>
                <w:szCs w:val="15"/>
              </w:rPr>
              <w:t xml:space="preserve">SPECIALISTS</w:t>
            </w:r>
          </w:p>
        </w:tc>
        <w:tc>
          <w:tcPr>
            <w:tcW w:type="dxa" w:w="2326"/>
            <w:tcBorders>
              <w:top w:val="none" w:color="FFFFFF" w:sz="0"/>
              <w:left w:val="single" w:color="E4E4E0" w:sz="6"/>
              <w:bottom w:val="none" w:color="FFFFFF" w:sz="0"/>
              <w:right w:val="none" w:color="FFFFFF" w:sz="0"/>
            </w:tcBorders>
            <w:tcMar>
              <w:top w:type="dxa" w:w="20"/>
              <w:left w:type="dxa" w:w="150"/>
              <w:bottom w:type="dxa" w:w="2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11111"/>
                <w:spacing w:val="-10"/>
                <w:sz w:val="46"/>
                <w:szCs w:val="46"/>
              </w:rPr>
              <w:t xml:space="preserve">4</w:t>
            </w:r>
          </w:p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AEAEAE"/>
                <w:spacing w:val="22"/>
                <w:sz w:val="15"/>
                <w:szCs w:val="15"/>
              </w:rPr>
              <w:t xml:space="preserve">SERVICE PILLARS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2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0" w:sz="6" w:space="6"/>
      </w:pBdr>
      <w:tabs>
        <w:tab w:val="right" w:pos="9304"/>
      </w:tabs>
    </w:pPr>
    <w:r>
      <w:rPr>
        <w:rFonts w:ascii="Inter" w:cs="Inter" w:eastAsia="Inter" w:hAnsi="Inter"/>
        <w:b w:val="false"/>
        <w:bCs w:val="false"/>
        <w:i w:val="false"/>
        <w:iCs w:val="false"/>
        <w:caps w:val="false"/>
        <w:color w:val="323232"/>
        <w:sz w:val="16"/>
        <w:szCs w:val="16"/>
      </w:rPr>
      <w:t xml:space="preserve">hello@mivada.com · mivada.com · Sydney &amp; Melbourne</w:t>
    </w:r>
    <w:r>
      <w:rPr>
        <w:rFonts w:ascii="Inter" w:cs="Inter" w:eastAsia="Inter" w:hAnsi="Inter"/>
      </w:rPr>
      <w:t xml:space="preserve">	</w:t>
    </w:r>
    <w:r>
      <w:rPr>
        <w:rFonts w:ascii="Inter" w:cs="Inter" w:eastAsia="Inter" w:hAnsi="Inter"/>
        <w:color w:val="AEAEAE"/>
        <w:sz w:val="16"/>
        <w:szCs w:val="16"/>
      </w:rPr>
      <w:t xml:space="preserve">Figures illustrative · </w:t>
    </w:r>
    <w:r>
      <w:rPr>
        <w:rFonts w:ascii="Inter" w:cs="Inter" w:eastAsia="Inter" w:hAnsi="Inter"/>
        <w:color w:val="AEAE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04"/>
      </w:tabs>
      <w:spacing w:after="0"/>
    </w:pPr>
    <w:r>
      <w:rPr>
        <w:rFonts w:ascii="Inter" w:cs="Inter" w:eastAsia="Inter" w:hAnsi="Inter"/>
        <w:b/>
        <w:bCs/>
        <w:i w:val="false"/>
        <w:iCs w:val="false"/>
        <w:caps w:val="false"/>
        <w:color w:val="111111"/>
        <w:spacing w:val="-2"/>
        <w:sz w:val="17"/>
        <w:szCs w:val="17"/>
      </w:rPr>
      <w:t xml:space="preserve">Mivada</w:t>
    </w:r>
    <w:r>
      <w:rPr>
        <w:rFonts w:ascii="Inter" w:cs="Inter" w:eastAsia="Inter" w:hAnsi="Inter"/>
        <w:color w:val="AEAEAE"/>
        <w:sz w:val="16"/>
        <w:szCs w:val="16"/>
      </w:rPr>
      <w:t xml:space="preserve">	Technology, human first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Inter" w:cs="Inter" w:eastAsia="Inter" w:hAnsi="Inter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Inter" w:cs="Inter" w:eastAsia="Inter" w:hAnsi="Inter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35f9f2f14da5053e3e44571b6dfea72861d05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Mivada — Capability Statement 2026</dc:title>
  <dc:creator>Mivada</dc:creator>
  <cp:lastModifiedBy>Un-named</cp:lastModifiedBy>
  <cp:revision>1</cp:revision>
  <dcterms:created xsi:type="dcterms:W3CDTF">2026-06-06T05:04:37.947Z</dcterms:created>
  <dcterms:modified xsi:type="dcterms:W3CDTF">2026-06-06T05:04:37.958Z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