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"/>
      </w:pPr>
      <w:r>
        <w:rPr>
          <w:rFonts w:ascii="Inter" w:cs="Inter" w:eastAsia="Inter" w:hAnsi="Inter"/>
          <w:b/>
          <w:bCs/>
          <w:color w:val="EA493F"/>
          <w:spacing w:val="28"/>
          <w:sz w:val="16"/>
          <w:szCs w:val="16"/>
        </w:rPr>
        <w:t xml:space="preserve">CAPABILITY OVERVIEW · 2026</w:t>
      </w:r>
    </w:p>
    <w:p>
      <w:pPr>
        <w:spacing w:after="160" w:before="40"/>
      </w:pPr>
      <w:r>
        <w:rPr>
          <w:rFonts w:ascii="Inter" w:cs="Inter" w:eastAsia="Inter" w:hAnsi="Inter"/>
          <w:b/>
          <w:bCs/>
          <w:color w:val="111111"/>
          <w:spacing w:val="-6"/>
          <w:sz w:val="38"/>
          <w:szCs w:val="38"/>
        </w:rPr>
        <w:t xml:space="preserve">Technology, </w:t>
      </w:r>
      <w:r>
        <w:rPr>
          <w:rFonts w:ascii="Inter" w:cs="Inter" w:eastAsia="Inter" w:hAnsi="Inter"/>
          <w:b/>
          <w:bCs/>
          <w:color w:val="EA493F"/>
          <w:spacing w:val="-6"/>
          <w:sz w:val="38"/>
          <w:szCs w:val="38"/>
        </w:rPr>
        <w:t xml:space="preserve">human</w:t>
      </w:r>
      <w:r>
        <w:rPr>
          <w:rFonts w:ascii="Inter" w:cs="Inter" w:eastAsia="Inter" w:hAnsi="Inter"/>
          <w:b/>
          <w:bCs/>
          <w:color w:val="111111"/>
          <w:spacing w:val="-6"/>
          <w:sz w:val="38"/>
          <w:szCs w:val="38"/>
        </w:rPr>
        <w:t xml:space="preserve"> first.</w:t>
      </w:r>
    </w:p>
    <w:p>
      <w:pPr>
        <w:spacing w:after="12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23232"/>
          <w:sz w:val="22"/>
          <w:szCs w:val="22"/>
        </w:rPr>
        <w:t xml:space="preserve">Mivada is an </w:t>
      </w:r>
      <w:r>
        <w:rPr>
          <w:rFonts w:ascii="Inter" w:cs="Inter" w:eastAsia="Inter" w:hAnsi="Inter"/>
          <w:b/>
          <w:bCs/>
          <w:i w:val="false"/>
          <w:iCs w:val="false"/>
          <w:color w:val="111111"/>
          <w:sz w:val="22"/>
          <w:szCs w:val="22"/>
        </w:rPr>
        <w:t xml:space="preserve">Australian technology consultancy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323232"/>
          <w:sz w:val="22"/>
          <w:szCs w:val="22"/>
        </w:rPr>
        <w:t xml:space="preserve"> that turns enterprise platforms — Workday, payroll, data and AI — into measurable human outcomes. We pair senior onshore leadership with cost-effective offshore delivery, and we stay on after go-live to measure outcomes, not tickets closed. The name comes from </w:t>
      </w:r>
      <w:r>
        <w:rPr>
          <w:rFonts w:ascii="Inter" w:cs="Inter" w:eastAsia="Inter" w:hAnsi="Inter"/>
          <w:b/>
          <w:bCs/>
          <w:i w:val="false"/>
          <w:iCs w:val="false"/>
          <w:color w:val="111111"/>
          <w:sz w:val="22"/>
          <w:szCs w:val="22"/>
        </w:rPr>
        <w:t xml:space="preserve">my village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323232"/>
          <w:sz w:val="22"/>
          <w:szCs w:val="22"/>
        </w:rPr>
        <w:t xml:space="preserve"> (community) and </w:t>
      </w:r>
      <w:r>
        <w:rPr>
          <w:rFonts w:ascii="Inter" w:cs="Inter" w:eastAsia="Inter" w:hAnsi="Inter"/>
          <w:b/>
          <w:bCs/>
          <w:i w:val="false"/>
          <w:iCs w:val="false"/>
          <w:color w:val="111111"/>
          <w:sz w:val="22"/>
          <w:szCs w:val="22"/>
        </w:rPr>
        <w:t xml:space="preserve">wisdom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323232"/>
          <w:sz w:val="22"/>
          <w:szCs w:val="22"/>
        </w:rPr>
        <w:t xml:space="preserve"> (knowledge); our core value is that we care.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EA493F"/>
          <w:spacing w:val="28"/>
          <w:sz w:val="16"/>
          <w:szCs w:val="16"/>
        </w:rPr>
        <w:t xml:space="preserve">WHAT WE DO</w:t>
      </w:r>
    </w:p>
    <w:p>
      <w:pPr>
        <w:pBdr>
          <w:bottom w:val="single" w:color="E4E4E0" w:sz="6" w:space="1"/>
        </w:pBdr>
        <w:spacing w:after="120" w:before="0" w:line="1"/>
      </w:pPr>
      <w:r>
        <w:rPr>
          <w:sz w:val="2"/>
          <w:szCs w:val="2"/>
        </w:rPr>
        <w:t xml:space="preserve"/>
      </w:r>
    </w:p>
    <w:p>
      <w:pPr>
        <w:pBdr>
          <w:bottom w:val="single" w:color="E4E4E0" w:sz="4" w:space="0"/>
        </w:pBdr>
        <w:spacing w:after="20" w:before="140"/>
      </w:pPr>
      <w:r>
        <w:rPr>
          <w:rFonts w:ascii="Inter" w:cs="Inter" w:eastAsia="Inter" w:hAnsi="Inter"/>
          <w:b/>
          <w:bCs/>
          <w:color w:val="111111"/>
          <w:spacing w:val="-2"/>
          <w:sz w:val="21"/>
          <w:szCs w:val="21"/>
        </w:rPr>
        <w:t xml:space="preserve">Workday &amp; ERP</w:t>
      </w:r>
    </w:p>
    <w:p>
      <w:pPr>
        <w:spacing w:after="60" w:before="3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23232"/>
          <w:sz w:val="20"/>
          <w:szCs w:val="20"/>
        </w:rPr>
        <w:t xml:space="preserve">Implementation, optimisation and managed support for Workday HCM, Financials and adjacent ERP.</w:t>
      </w:r>
    </w:p>
    <w:p>
      <w:pPr>
        <w:pBdr>
          <w:bottom w:val="single" w:color="E4E4E0" w:sz="4" w:space="0"/>
        </w:pBdr>
        <w:spacing w:after="20" w:before="140"/>
      </w:pPr>
      <w:r>
        <w:rPr>
          <w:rFonts w:ascii="Inter" w:cs="Inter" w:eastAsia="Inter" w:hAnsi="Inter"/>
          <w:b/>
          <w:bCs/>
          <w:color w:val="111111"/>
          <w:spacing w:val="-2"/>
          <w:sz w:val="21"/>
          <w:szCs w:val="21"/>
        </w:rPr>
        <w:t xml:space="preserve">Payroll consulting</w:t>
      </w:r>
    </w:p>
    <w:p>
      <w:pPr>
        <w:spacing w:after="60" w:before="3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23232"/>
          <w:sz w:val="20"/>
          <w:szCs w:val="20"/>
        </w:rPr>
        <w:t xml:space="preserve">Compliant, accurate payroll across complex awards and multi-entity structures.</w:t>
      </w:r>
    </w:p>
    <w:p>
      <w:pPr>
        <w:pBdr>
          <w:bottom w:val="single" w:color="E4E4E0" w:sz="4" w:space="0"/>
        </w:pBdr>
        <w:spacing w:after="20" w:before="140"/>
      </w:pPr>
      <w:r>
        <w:rPr>
          <w:rFonts w:ascii="Inter" w:cs="Inter" w:eastAsia="Inter" w:hAnsi="Inter"/>
          <w:b/>
          <w:bCs/>
          <w:color w:val="111111"/>
          <w:spacing w:val="-2"/>
          <w:sz w:val="21"/>
          <w:szCs w:val="21"/>
        </w:rPr>
        <w:t xml:space="preserve">Data &amp; AI</w:t>
      </w:r>
    </w:p>
    <w:p>
      <w:pPr>
        <w:spacing w:after="60" w:before="3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23232"/>
          <w:sz w:val="20"/>
          <w:szCs w:val="20"/>
        </w:rPr>
        <w:t xml:space="preserve">Lakehouse architecture, governed analytics and applied AI on top of your people and finance data.</w:t>
      </w:r>
    </w:p>
    <w:p>
      <w:pPr>
        <w:pBdr>
          <w:bottom w:val="single" w:color="E4E4E0" w:sz="4" w:space="0"/>
        </w:pBdr>
        <w:spacing w:after="20" w:before="140"/>
      </w:pPr>
      <w:r>
        <w:rPr>
          <w:rFonts w:ascii="Inter" w:cs="Inter" w:eastAsia="Inter" w:hAnsi="Inter"/>
          <w:b/>
          <w:bCs/>
          <w:color w:val="111111"/>
          <w:spacing w:val="-2"/>
          <w:sz w:val="21"/>
          <w:szCs w:val="21"/>
        </w:rPr>
        <w:t xml:space="preserve">Intelligent automation</w:t>
      </w:r>
    </w:p>
    <w:p>
      <w:pPr>
        <w:spacing w:after="60" w:before="3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23232"/>
          <w:sz w:val="20"/>
          <w:szCs w:val="20"/>
        </w:rPr>
        <w:t xml:space="preserve">RPA, ML and process design combined to remove low-value work.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EA493F"/>
          <w:spacing w:val="28"/>
          <w:sz w:val="16"/>
          <w:szCs w:val="16"/>
        </w:rPr>
        <w:t xml:space="preserve">HOW WE WORK — THINK HUMAN FIRST</w:t>
      </w:r>
    </w:p>
    <w:p>
      <w:pPr>
        <w:pBdr>
          <w:bottom w:val="single" w:color="E4E4E0" w:sz="6" w:space="1"/>
        </w:pBdr>
        <w:spacing w:after="120" w:before="0" w:line="1"/>
      </w:pPr>
      <w:r>
        <w:rPr>
          <w:sz w:val="2"/>
          <w:szCs w:val="2"/>
        </w:rPr>
        <w:t xml:space="preserve"/>
      </w:r>
    </w:p>
    <w:p>
      <w:pPr>
        <w:pBdr>
          <w:bottom w:val="single" w:color="E4E4E0" w:sz="4" w:space="0"/>
        </w:pBdr>
        <w:spacing w:after="20" w:before="140"/>
      </w:pPr>
      <w:r>
        <w:rPr>
          <w:rFonts w:ascii="Inter" w:cs="Inter" w:eastAsia="Inter" w:hAnsi="Inter"/>
          <w:b/>
          <w:bCs/>
          <w:color w:val="EA493F"/>
          <w:sz w:val="21"/>
          <w:szCs w:val="21"/>
        </w:rPr>
        <w:t xml:space="preserve">1  </w:t>
      </w:r>
      <w:r>
        <w:rPr>
          <w:rFonts w:ascii="Inter" w:cs="Inter" w:eastAsia="Inter" w:hAnsi="Inter"/>
          <w:b/>
          <w:bCs/>
          <w:color w:val="111111"/>
          <w:spacing w:val="-2"/>
          <w:sz w:val="21"/>
          <w:szCs w:val="21"/>
        </w:rPr>
        <w:t xml:space="preserve">Listen</w:t>
      </w:r>
    </w:p>
    <w:p>
      <w:pPr>
        <w:spacing w:after="60" w:before="3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23232"/>
          <w:sz w:val="20"/>
          <w:szCs w:val="20"/>
        </w:rPr>
        <w:t xml:space="preserve">Understand the people and the work before the technology.</w:t>
      </w:r>
    </w:p>
    <w:p>
      <w:pPr>
        <w:pBdr>
          <w:bottom w:val="single" w:color="E4E4E0" w:sz="4" w:space="0"/>
        </w:pBdr>
        <w:spacing w:after="20" w:before="140"/>
      </w:pPr>
      <w:r>
        <w:rPr>
          <w:rFonts w:ascii="Inter" w:cs="Inter" w:eastAsia="Inter" w:hAnsi="Inter"/>
          <w:b/>
          <w:bCs/>
          <w:color w:val="EA493F"/>
          <w:sz w:val="21"/>
          <w:szCs w:val="21"/>
        </w:rPr>
        <w:t xml:space="preserve">2  </w:t>
      </w:r>
      <w:r>
        <w:rPr>
          <w:rFonts w:ascii="Inter" w:cs="Inter" w:eastAsia="Inter" w:hAnsi="Inter"/>
          <w:b/>
          <w:bCs/>
          <w:color w:val="111111"/>
          <w:spacing w:val="-2"/>
          <w:sz w:val="21"/>
          <w:szCs w:val="21"/>
        </w:rPr>
        <w:t xml:space="preserve">Design</w:t>
      </w:r>
    </w:p>
    <w:p>
      <w:pPr>
        <w:spacing w:after="60" w:before="3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23232"/>
          <w:sz w:val="20"/>
          <w:szCs w:val="20"/>
        </w:rPr>
        <w:t xml:space="preserve">Shape the platform around how teams actually operate.</w:t>
      </w:r>
    </w:p>
    <w:p>
      <w:pPr>
        <w:pBdr>
          <w:bottom w:val="single" w:color="E4E4E0" w:sz="4" w:space="0"/>
        </w:pBdr>
        <w:spacing w:after="20" w:before="140"/>
      </w:pPr>
      <w:r>
        <w:rPr>
          <w:rFonts w:ascii="Inter" w:cs="Inter" w:eastAsia="Inter" w:hAnsi="Inter"/>
          <w:b/>
          <w:bCs/>
          <w:color w:val="EA493F"/>
          <w:sz w:val="21"/>
          <w:szCs w:val="21"/>
        </w:rPr>
        <w:t xml:space="preserve">3  </w:t>
      </w:r>
      <w:r>
        <w:rPr>
          <w:rFonts w:ascii="Inter" w:cs="Inter" w:eastAsia="Inter" w:hAnsi="Inter"/>
          <w:b/>
          <w:bCs/>
          <w:color w:val="111111"/>
          <w:spacing w:val="-2"/>
          <w:sz w:val="21"/>
          <w:szCs w:val="21"/>
        </w:rPr>
        <w:t xml:space="preserve">Deliver</w:t>
      </w:r>
    </w:p>
    <w:p>
      <w:pPr>
        <w:spacing w:after="60" w:before="3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23232"/>
          <w:sz w:val="20"/>
          <w:szCs w:val="20"/>
        </w:rPr>
        <w:t xml:space="preserve">Implement in weeks-long increments, not multi-year programs.</w:t>
      </w:r>
    </w:p>
    <w:p>
      <w:pPr>
        <w:pBdr>
          <w:bottom w:val="single" w:color="E4E4E0" w:sz="4" w:space="0"/>
        </w:pBdr>
        <w:spacing w:after="20" w:before="140"/>
      </w:pPr>
      <w:r>
        <w:rPr>
          <w:rFonts w:ascii="Inter" w:cs="Inter" w:eastAsia="Inter" w:hAnsi="Inter"/>
          <w:b/>
          <w:bCs/>
          <w:color w:val="EA493F"/>
          <w:sz w:val="21"/>
          <w:szCs w:val="21"/>
        </w:rPr>
        <w:t xml:space="preserve">4  </w:t>
      </w:r>
      <w:r>
        <w:rPr>
          <w:rFonts w:ascii="Inter" w:cs="Inter" w:eastAsia="Inter" w:hAnsi="Inter"/>
          <w:b/>
          <w:bCs/>
          <w:color w:val="111111"/>
          <w:spacing w:val="-2"/>
          <w:sz w:val="21"/>
          <w:szCs w:val="21"/>
        </w:rPr>
        <w:t xml:space="preserve">Care</w:t>
      </w:r>
    </w:p>
    <w:p>
      <w:pPr>
        <w:spacing w:after="60" w:before="3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23232"/>
          <w:sz w:val="20"/>
          <w:szCs w:val="20"/>
        </w:rPr>
        <w:t xml:space="preserve">Stay on after go-live; measure outcomes, not tickets closed.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EA493F"/>
          <w:spacing w:val="28"/>
          <w:sz w:val="16"/>
          <w:szCs w:val="16"/>
        </w:rPr>
        <w:t xml:space="preserve">SELECTED CAPABILITIES — DATA &amp; AI</w:t>
      </w:r>
    </w:p>
    <w:p>
      <w:pPr>
        <w:pBdr>
          <w:bottom w:val="single" w:color="E4E4E0" w:sz="6" w:space="1"/>
        </w:pBdr>
        <w:spacing w:after="140" w:before="0" w:line="1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23232"/>
          <w:sz w:val="21"/>
          <w:szCs w:val="21"/>
        </w:rPr>
        <w:t xml:space="preserve">Certified consultants design </w:t>
      </w:r>
      <w:r>
        <w:rPr>
          <w:rFonts w:ascii="Inter" w:cs="Inter" w:eastAsia="Inter" w:hAnsi="Inter"/>
          <w:b/>
          <w:bCs/>
          <w:i w:val="false"/>
          <w:iCs w:val="false"/>
          <w:color w:val="111111"/>
          <w:sz w:val="21"/>
          <w:szCs w:val="21"/>
        </w:rPr>
        <w:t xml:space="preserve">Lakehouse architectures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323232"/>
          <w:sz w:val="21"/>
          <w:szCs w:val="21"/>
        </w:rPr>
        <w:t xml:space="preserve"> built for governance and scale.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23232"/>
          <w:sz w:val="21"/>
          <w:szCs w:val="21"/>
        </w:rPr>
        <w:t xml:space="preserve">We build </w:t>
      </w:r>
      <w:r>
        <w:rPr>
          <w:rFonts w:ascii="Inter" w:cs="Inter" w:eastAsia="Inter" w:hAnsi="Inter"/>
          <w:b/>
          <w:bCs/>
          <w:i w:val="false"/>
          <w:iCs w:val="false"/>
          <w:color w:val="111111"/>
          <w:sz w:val="21"/>
          <w:szCs w:val="21"/>
        </w:rPr>
        <w:t xml:space="preserve">Delta Lake pipelines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323232"/>
          <w:sz w:val="21"/>
          <w:szCs w:val="21"/>
        </w:rPr>
        <w:t xml:space="preserve"> — batch and streaming — that are reliable and observable.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23232"/>
          <w:sz w:val="21"/>
          <w:szCs w:val="21"/>
        </w:rPr>
        <w:t xml:space="preserve">We integrate </w:t>
      </w:r>
      <w:r>
        <w:rPr>
          <w:rFonts w:ascii="Inter" w:cs="Inter" w:eastAsia="Inter" w:hAnsi="Inter"/>
          <w:b/>
          <w:bCs/>
          <w:i w:val="false"/>
          <w:iCs w:val="false"/>
          <w:color w:val="111111"/>
          <w:sz w:val="21"/>
          <w:szCs w:val="21"/>
        </w:rPr>
        <w:t xml:space="preserve">Databricks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323232"/>
          <w:sz w:val="21"/>
          <w:szCs w:val="21"/>
        </w:rPr>
        <w:t xml:space="preserve"> with Workday, payroll and finance to deliver a </w:t>
      </w:r>
      <w:r>
        <w:rPr>
          <w:rFonts w:ascii="Inter" w:cs="Inter" w:eastAsia="Inter" w:hAnsi="Inter"/>
          <w:b/>
          <w:bCs/>
          <w:i w:val="false"/>
          <w:iCs w:val="false"/>
          <w:color w:val="111111"/>
          <w:sz w:val="21"/>
          <w:szCs w:val="21"/>
        </w:rPr>
        <w:t xml:space="preserve">governed KPI store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32323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23232"/>
          <w:sz w:val="21"/>
          <w:szCs w:val="21"/>
        </w:rPr>
        <w:t xml:space="preserve">Leaders get </w:t>
      </w:r>
      <w:r>
        <w:rPr>
          <w:rFonts w:ascii="Inter" w:cs="Inter" w:eastAsia="Inter" w:hAnsi="Inter"/>
          <w:b/>
          <w:bCs/>
          <w:i w:val="false"/>
          <w:iCs w:val="false"/>
          <w:color w:val="111111"/>
          <w:sz w:val="21"/>
          <w:szCs w:val="21"/>
        </w:rPr>
        <w:t xml:space="preserve">real-time insight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323232"/>
          <w:sz w:val="21"/>
          <w:szCs w:val="21"/>
        </w:rPr>
        <w:t xml:space="preserve"> and decide on current data, not last quarter’s.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EA493F"/>
          <w:spacing w:val="28"/>
          <w:sz w:val="16"/>
          <w:szCs w:val="16"/>
        </w:rPr>
        <w:t xml:space="preserve">BY THE NUMBERS</w:t>
      </w:r>
    </w:p>
    <w:p>
      <w:pPr>
        <w:spacing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AEAEAE"/>
          <w:sz w:val="18"/>
          <w:szCs w:val="18"/>
        </w:rPr>
        <w:t xml:space="preserve">Illustrative figures for these design examples.</w:t>
      </w:r>
    </w:p>
    <w:tbl>
      <w:tblPr>
        <w:tblW w:type="dxa" w:w="9070"/>
        <w:tblBorders>
          <w:top w:val="single" w:color="E4E4E0" w:sz="4"/>
          <w:left w:val="single" w:color="E4E4E0" w:sz="4"/>
          <w:bottom w:val="single" w:color="E4E4E0" w:sz="4"/>
          <w:right w:val="single" w:color="E4E4E0" w:sz="4"/>
          <w:insideH w:val="single" w:color="E4E4E0" w:sz="4"/>
          <w:insideV w:val="single" w:color="E4E4E0" w:sz="4"/>
        </w:tblBorders>
      </w:tblPr>
      <w:tblGrid>
        <w:gridCol w:w="3023"/>
        <w:gridCol w:w="3023"/>
        <w:gridCol w:w="3024"/>
      </w:tblGrid>
      <w:tr>
        <w:trPr>
          <w:tblHeader/>
        </w:trPr>
        <w:tc>
          <w:tcPr>
            <w:tcW w:type="dxa" w:w="9070"/>
            <w:gridSpan w:val="3"/>
            <w:shd w:fill="EA493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pacing w:val="30"/>
                <w:sz w:val="15"/>
                <w:szCs w:val="15"/>
              </w:rPr>
              <w:t xml:space="preserve">PROOF POINTS</w:t>
            </w:r>
          </w:p>
        </w:tc>
      </w:tr>
      <w:tr>
        <w:tc>
          <w:tcPr>
            <w:tcW w:type="dxa" w:w="3023"/>
            <w:tcBorders>
              <w:top w:val="single" w:color="E4E4E0" w:sz="4"/>
              <w:left w:val="single" w:color="E4E4E0" w:sz="4"/>
              <w:bottom w:val="single" w:color="E4E4E0" w:sz="4"/>
              <w:right w:val="single" w:color="E4E4E0" w:sz="4"/>
            </w:tcBorders>
            <w:shd w:fill="FFFFFF" w:color="auto" w:val="clear"/>
            <w:tcMar>
              <w:top w:type="dxa" w:w="12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EA493F"/>
                <w:spacing w:val="26"/>
                <w:sz w:val="13"/>
                <w:szCs w:val="13"/>
              </w:rPr>
              <w:t xml:space="preserve">ESTABLISHED</w:t>
            </w:r>
          </w:p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111111"/>
                <w:spacing w:val="-4"/>
                <w:sz w:val="40"/>
                <w:szCs w:val="40"/>
              </w:rPr>
              <w:t xml:space="preserve">2014</w:t>
            </w:r>
          </w:p>
          <w:p>
            <w:r>
              <w:rPr>
                <w:rFonts w:ascii="Inter" w:cs="Inter" w:eastAsia="Inter" w:hAnsi="Inter"/>
                <w:color w:val="323232"/>
                <w:sz w:val="17"/>
                <w:szCs w:val="17"/>
              </w:rPr>
              <w:t xml:space="preserve">Founded as LJM Infotech.</w:t>
            </w:r>
          </w:p>
        </w:tc>
        <w:tc>
          <w:tcPr>
            <w:tcW w:type="dxa" w:w="3023"/>
            <w:tcBorders>
              <w:top w:val="single" w:color="E4E4E0" w:sz="4"/>
              <w:left w:val="single" w:color="E4E4E0" w:sz="4"/>
              <w:bottom w:val="single" w:color="E4E4E0" w:sz="4"/>
              <w:right w:val="single" w:color="E4E4E0" w:sz="4"/>
            </w:tcBorders>
            <w:shd w:fill="FFFFFF" w:color="auto" w:val="clear"/>
            <w:tcMar>
              <w:top w:type="dxa" w:w="12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EA493F"/>
                <w:spacing w:val="26"/>
                <w:sz w:val="13"/>
                <w:szCs w:val="13"/>
              </w:rPr>
              <w:t xml:space="preserve">SPECIALISTS</w:t>
            </w:r>
          </w:p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111111"/>
                <w:spacing w:val="-4"/>
                <w:sz w:val="40"/>
                <w:szCs w:val="40"/>
              </w:rPr>
              <w:t xml:space="preserve">120+</w:t>
            </w:r>
          </w:p>
          <w:p>
            <w:r>
              <w:rPr>
                <w:rFonts w:ascii="Inter" w:cs="Inter" w:eastAsia="Inter" w:hAnsi="Inter"/>
                <w:color w:val="323232"/>
                <w:sz w:val="17"/>
                <w:szCs w:val="17"/>
              </w:rPr>
              <w:t xml:space="preserve">Certified, not generalist.</w:t>
            </w:r>
          </w:p>
        </w:tc>
        <w:tc>
          <w:tcPr>
            <w:tcW w:type="dxa" w:w="3023"/>
            <w:tcBorders>
              <w:top w:val="single" w:color="E4E4E0" w:sz="4"/>
              <w:left w:val="single" w:color="E4E4E0" w:sz="4"/>
              <w:bottom w:val="single" w:color="E4E4E0" w:sz="4"/>
              <w:right w:val="single" w:color="E4E4E0" w:sz="4"/>
            </w:tcBorders>
            <w:shd w:fill="FFFFFF" w:color="auto" w:val="clear"/>
            <w:tcMar>
              <w:top w:type="dxa" w:w="12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EA493F"/>
                <w:spacing w:val="26"/>
                <w:sz w:val="13"/>
                <w:szCs w:val="13"/>
              </w:rPr>
              <w:t xml:space="preserve">WORKDAY</w:t>
            </w:r>
          </w:p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111111"/>
                <w:spacing w:val="-4"/>
                <w:sz w:val="40"/>
                <w:szCs w:val="40"/>
              </w:rPr>
              <w:t xml:space="preserve">40+</w:t>
            </w:r>
          </w:p>
          <w:p>
            <w:r>
              <w:rPr>
                <w:rFonts w:ascii="Inter" w:cs="Inter" w:eastAsia="Inter" w:hAnsi="Inter"/>
                <w:color w:val="323232"/>
                <w:sz w:val="17"/>
                <w:szCs w:val="17"/>
              </w:rPr>
              <w:t xml:space="preserve">Deployments delivered.</w:t>
            </w:r>
          </w:p>
        </w:tc>
      </w:tr>
      <w:tr>
        <w:tc>
          <w:tcPr>
            <w:tcW w:type="dxa" w:w="3023"/>
            <w:tcBorders>
              <w:top w:val="single" w:color="E4E4E0" w:sz="4"/>
              <w:left w:val="single" w:color="E4E4E0" w:sz="4"/>
              <w:bottom w:val="single" w:color="E4E4E0" w:sz="4"/>
              <w:right w:val="single" w:color="E4E4E0" w:sz="4"/>
            </w:tcBorders>
            <w:shd w:fill="FFFFFF" w:color="auto" w:val="clear"/>
            <w:tcMar>
              <w:top w:type="dxa" w:w="12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EA493F"/>
                <w:spacing w:val="26"/>
                <w:sz w:val="13"/>
                <w:szCs w:val="13"/>
              </w:rPr>
              <w:t xml:space="preserve">RETENTION</w:t>
            </w:r>
          </w:p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111111"/>
                <w:spacing w:val="-4"/>
                <w:sz w:val="40"/>
                <w:szCs w:val="40"/>
              </w:rPr>
              <w:t xml:space="preserve">98%</w:t>
            </w:r>
          </w:p>
          <w:p>
            <w:r>
              <w:rPr>
                <w:rFonts w:ascii="Inter" w:cs="Inter" w:eastAsia="Inter" w:hAnsi="Inter"/>
                <w:color w:val="323232"/>
                <w:sz w:val="17"/>
                <w:szCs w:val="17"/>
              </w:rPr>
              <w:t xml:space="preserve">Client retention rate.</w:t>
            </w:r>
          </w:p>
        </w:tc>
        <w:tc>
          <w:tcPr>
            <w:tcW w:type="dxa" w:w="3023"/>
            <w:tcBorders>
              <w:top w:val="single" w:color="E4E4E0" w:sz="4"/>
              <w:left w:val="single" w:color="E4E4E0" w:sz="4"/>
              <w:bottom w:val="single" w:color="E4E4E0" w:sz="4"/>
              <w:right w:val="single" w:color="E4E4E0" w:sz="4"/>
            </w:tcBorders>
            <w:shd w:fill="FFFFFF" w:color="auto" w:val="clear"/>
            <w:tcMar>
              <w:top w:type="dxa" w:w="12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EA493F"/>
                <w:spacing w:val="26"/>
                <w:sz w:val="13"/>
                <w:szCs w:val="13"/>
              </w:rPr>
              <w:t xml:space="preserve">PILLARS</w:t>
            </w:r>
          </w:p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111111"/>
                <w:spacing w:val="-4"/>
                <w:sz w:val="40"/>
                <w:szCs w:val="40"/>
              </w:rPr>
              <w:t xml:space="preserve">4</w:t>
            </w:r>
          </w:p>
          <w:p>
            <w:r>
              <w:rPr>
                <w:rFonts w:ascii="Inter" w:cs="Inter" w:eastAsia="Inter" w:hAnsi="Inter"/>
                <w:color w:val="323232"/>
                <w:sz w:val="17"/>
                <w:szCs w:val="17"/>
              </w:rPr>
              <w:t xml:space="preserve">Workday, payroll, data &amp; AI, automation.</w:t>
            </w:r>
          </w:p>
        </w:tc>
        <w:tc>
          <w:tcPr>
            <w:tcW w:type="dxa" w:w="3023"/>
            <w:tcBorders>
              <w:top w:val="single" w:color="E4E4E0" w:sz="4"/>
              <w:left w:val="single" w:color="E4E4E0" w:sz="4"/>
              <w:bottom w:val="single" w:color="E4E4E0" w:sz="4"/>
              <w:right w:val="single" w:color="E4E4E0" w:sz="4"/>
            </w:tcBorders>
            <w:shd w:fill="FFFFFF" w:color="auto" w:val="clear"/>
            <w:tcMar>
              <w:top w:type="dxa" w:w="12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EA493F"/>
                <w:spacing w:val="26"/>
                <w:sz w:val="13"/>
                <w:szCs w:val="13"/>
              </w:rPr>
              <w:t xml:space="preserve">DELIVERY</w:t>
            </w:r>
          </w:p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111111"/>
                <w:spacing w:val="-4"/>
                <w:sz w:val="40"/>
                <w:szCs w:val="40"/>
              </w:rPr>
              <w:t xml:space="preserve">AU + IN</w:t>
            </w:r>
          </w:p>
          <w:p>
            <w:r>
              <w:rPr>
                <w:rFonts w:ascii="Inter" w:cs="Inter" w:eastAsia="Inter" w:hAnsi="Inter"/>
                <w:color w:val="323232"/>
                <w:sz w:val="17"/>
                <w:szCs w:val="17"/>
              </w:rPr>
              <w:t xml:space="preserve">Onshore Australia, offshore India.</w:t>
            </w:r>
          </w:p>
        </w:tc>
      </w:tr>
    </w:tbl>
    <w:p>
      <w:pPr>
        <w:spacing w:after="40" w:before="260"/>
      </w:pPr>
      <w:r>
        <w:rPr>
          <w:rFonts w:ascii="Inter" w:cs="Inter" w:eastAsia="Inter" w:hAnsi="Inter"/>
          <w:b/>
          <w:bCs/>
          <w:color w:val="111111"/>
          <w:spacing w:val="-2"/>
          <w:sz w:val="22"/>
          <w:szCs w:val="22"/>
        </w:rPr>
        <w:t xml:space="preserve">Let’s build smarter systems, with people at the </w:t>
      </w:r>
      <w:r>
        <w:rPr>
          <w:rFonts w:ascii="Inter" w:cs="Inter" w:eastAsia="Inter" w:hAnsi="Inter"/>
          <w:b/>
          <w:bCs/>
          <w:color w:val="EA493F"/>
          <w:spacing w:val="-2"/>
          <w:sz w:val="22"/>
          <w:szCs w:val="22"/>
        </w:rPr>
        <w:t xml:space="preserve">centre.</w:t>
      </w:r>
    </w:p>
    <w:p>
      <w:pPr>
        <w:spacing w:after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23232"/>
          <w:sz w:val="19"/>
          <w:szCs w:val="19"/>
        </w:rPr>
        <w:t xml:space="preserve">Experience the Mivada difference.</w:t>
      </w:r>
    </w:p>
    <w:sectPr>
      <w:headerReference w:type="default" r:id="rId7"/>
      <w:footerReference w:type="default" r:id="rId8"/>
      <w:pgSz w:w="11906" w:h="16838" w:orient="portrait"/>
      <w:pgMar w:top="1418" w:right="1418" w:bottom="130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111111" w:sz="8" w:space="1"/>
      </w:pBdr>
      <w:spacing w:after="80" w:before="40" w:line="1"/>
    </w:pPr>
    <w:r>
      <w:rPr>
        <w:sz w:val="2"/>
        <w:szCs w:val="2"/>
      </w:rPr>
      <w:t xml:space="preserve"/>
    </w:r>
  </w:p>
  <w:p>
    <w:pPr>
      <w:tabs>
        <w:tab w:val="right" w:pos="9070"/>
      </w:tabs>
    </w:pPr>
    <w:r>
      <w:rPr>
        <w:rFonts w:ascii="Inter" w:cs="Inter" w:eastAsia="Inter" w:hAnsi="Inter"/>
        <w:color w:val="323232"/>
        <w:sz w:val="16"/>
        <w:szCs w:val="16"/>
      </w:rPr>
      <w:t xml:space="preserve">mivada.com · hello@mivada.com · Sydney &amp; Melbourne</w:t>
    </w:r>
    <w:r>
      <w:rPr>
        <w:rFonts w:ascii="Inter" w:cs="Inter" w:eastAsia="Inter" w:hAnsi="Inter"/>
        <w:color w:val="AEAEAE"/>
        <w:sz w:val="16"/>
        <w:szCs w:val="16"/>
      </w:rPr>
      <w:t xml:space="preserve">	Page </w:t>
    </w:r>
    <w:r>
      <w:rPr>
        <w:rFonts w:ascii="Inter" w:cs="Inter" w:eastAsia="Inter" w:hAnsi="Inter"/>
        <w:color w:val="AEAEAE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20"/>
    </w:pPr>
    <w:r>
      <w:rPr>
        <w:rFonts w:ascii="Inter" w:cs="Inter" w:eastAsia="Inter" w:hAnsi="Inter"/>
        <w:i/>
        <w:iCs/>
        <w:color w:val="AEAEAE"/>
        <w:sz w:val="14"/>
        <w:szCs w:val="14"/>
      </w:rPr>
      <w:t xml:space="preserve">Figures illustrative.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0"/>
      </w:tabs>
      <w:spacing w:after="60"/>
    </w:pPr>
    <w:r>
      <w:rPr>
        <w:rFonts w:ascii="Inter" w:cs="Inter" w:eastAsia="Inter" w:hAnsi="Inter"/>
        <w:b/>
        <w:bCs/>
        <w:color w:val="111111"/>
        <w:spacing w:val="-2"/>
        <w:sz w:val="20"/>
        <w:szCs w:val="20"/>
      </w:rPr>
      <w:t xml:space="preserve">Mivada</w:t>
    </w:r>
    <w:r>
      <w:rPr>
        <w:rFonts w:ascii="Inter" w:cs="Inter" w:eastAsia="Inter" w:hAnsi="Inter"/>
        <w:b/>
        <w:bCs/>
        <w:color w:val="323232"/>
        <w:spacing w:val="24"/>
        <w:sz w:val="14"/>
        <w:szCs w:val="14"/>
      </w:rPr>
      <w:t xml:space="preserve">	Capability statement · 2026</w:t>
    </w:r>
  </w:p>
  <w:p>
    <w:pPr>
      <w:pBdr>
        <w:bottom w:val="single" w:color="EA493F" w:sz="8" w:space="1"/>
      </w:pBdr>
      <w:spacing w:after="0" w:before="0" w:line="1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b/>
        <w:bCs/>
        <w:color w:val="EA493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Inter" w:cs="Inter" w:eastAsia="Inter" w:hAnsi="Inter"/>
      <w:b/>
      <w:bCs/>
      <w:color w:val="111111"/>
      <w:spacing w:val="-6"/>
      <w:sz w:val="33"/>
      <w:szCs w:val="33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Inter" w:cs="Inter" w:eastAsia="Inter" w:hAnsi="Inter"/>
      <w:b/>
      <w:bCs/>
      <w:color w:val="111111"/>
      <w:spacing w:val="-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Mivada — Capability statement 2026</dc:title>
  <dc:creator>Mivada</dc:creator>
  <dc:description>Capability statement (Clarity concept)</dc:description>
  <cp:lastModifiedBy>Un-named</cp:lastModifiedBy>
  <cp:revision>1</cp:revision>
  <dcterms:created xsi:type="dcterms:W3CDTF">2026-06-05T22:13:26.431Z</dcterms:created>
  <dcterms:modified xsi:type="dcterms:W3CDTF">2026-06-05T22:13:26.443Z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