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11111" w:sz="16" w:space="6"/>
        </w:pBdr>
        <w:tabs>
          <w:tab w:val="right" w:pos="9026"/>
        </w:tabs>
        <w:spacing w:after="60"/>
      </w:pPr>
      <w:r>
        <w:rPr>
          <w:rFonts w:ascii="Inter" w:cs="Inter" w:eastAsia="Inter" w:hAnsi="Inter"/>
          <w:b/>
          <w:bCs/>
          <w:color w:val="FFFFFF"/>
          <w:sz w:val="30"/>
          <w:szCs w:val="30"/>
          <w:shd w:fill="EA493F" w:color="auto" w:val="clear"/>
        </w:rPr>
        <w:t xml:space="preserve"> M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4"/>
          <w:sz w:val="30"/>
          <w:szCs w:val="30"/>
        </w:rPr>
        <w:t xml:space="preserve">  Mivada</w:t>
      </w:r>
      <w:r>
        <w:rPr>
          <w:rFonts w:ascii="Inter" w:cs="Inter" w:eastAsia="Inter" w:hAnsi="Inter"/>
          <w:b/>
          <w:bCs/>
          <w:caps/>
          <w:color w:val="323232"/>
          <w:spacing w:val="28"/>
          <w:sz w:val="17"/>
          <w:szCs w:val="17"/>
        </w:rPr>
        <w:t xml:space="preserve">	CAPABILITY STATEMENT · </w:t>
      </w:r>
      <w:r>
        <w:rPr>
          <w:rFonts w:ascii="Inter" w:cs="Inter" w:eastAsia="Inter" w:hAnsi="Inter"/>
          <w:b/>
          <w:bCs/>
          <w:caps/>
          <w:color w:val="EA493F"/>
          <w:spacing w:val="28"/>
          <w:sz w:val="17"/>
          <w:szCs w:val="17"/>
        </w:rPr>
        <w:t xml:space="preserve">2026</w:t>
      </w:r>
    </w:p>
    <w:p>
      <w:pPr>
        <w:spacing w:after="80" w:before="15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Technology, human first</w:t>
      </w:r>
    </w:p>
    <w:p>
      <w:pPr>
        <w:spacing w:after="110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8"/>
          <w:sz w:val="52"/>
          <w:szCs w:val="52"/>
        </w:rPr>
        <w:t xml:space="preserve">We turn enterprise platforms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8"/>
          <w:sz w:val="52"/>
          <w:szCs w:val="52"/>
        </w:rPr>
        <w:t xml:space="preserve">into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8"/>
          <w:sz w:val="52"/>
          <w:szCs w:val="52"/>
        </w:rPr>
        <w:t xml:space="preserve">human outcomes.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80"/>
            </w:tcMar>
          </w:tcPr>
          <w:p>
            <w:pPr>
              <w:spacing w:after="0" w:line="276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21"/>
                <w:szCs w:val="21"/>
              </w:rPr>
              <w:t xml:space="preserve">Mivada is an Australian technology consultancy. We take the platforms that run an enterprise — Workday, payroll, data and AI — and shape them around the people who use them every day.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80"/>
              <w:bottom w:type="dxa" w:w="0"/>
              <w:right w:type="dxa" w:w="0"/>
            </w:tcMar>
          </w:tcPr>
          <w:p>
            <w:pPr>
              <w:spacing w:after="0" w:line="276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21"/>
                <w:szCs w:val="21"/>
              </w:rPr>
              <w:t xml:space="preserve">Founded in 2014 and now 120-plus specialists, we lead onshore in Australia and deliver across India. We measure success in outcomes adopted, not tickets closed.</w:t>
            </w:r>
          </w:p>
        </w:tc>
      </w:tr>
    </w:tbl>
    <w:p>
      <w:pPr>
        <w:spacing w:after="26" w:before="17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What we do</w:t>
      </w:r>
    </w:p>
    <w:p>
      <w:pPr>
        <w:spacing w:after="100" w:before="16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6"/>
          <w:sz w:val="30"/>
          <w:szCs w:val="30"/>
        </w:rPr>
        <w:t xml:space="preserve">Four practices, one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6"/>
          <w:sz w:val="30"/>
          <w:szCs w:val="30"/>
        </w:rPr>
        <w:t xml:space="preserve">operating belief.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01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Workday &amp; ERP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Implementation, optimisation and managed support for Workday HCM, Financials and adjacent ERP.</w:t>
            </w:r>
          </w:p>
        </w:tc>
        <w:tc>
          <w:tcPr>
            <w:tcW w:type="dxa" w:w="4513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02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Payroll consulting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Compliant, accurate payroll across complex awards and multi-entity structures.</w:t>
            </w:r>
          </w:p>
        </w:tc>
      </w:tr>
      <w:tr>
        <w:tc>
          <w:tcPr>
            <w:tcW w:type="dxa" w:w="4513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03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Data &amp; AI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Lakehouse architecture, governed analytics and applied AI on your people and finance data.</w:t>
            </w:r>
          </w:p>
        </w:tc>
        <w:tc>
          <w:tcPr>
            <w:tcW w:type="dxa" w:w="4513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04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Intelligent automation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RPA, ML and process design combined to remove low-value work.</w:t>
            </w:r>
          </w:p>
        </w:tc>
      </w:tr>
    </w:tbl>
    <w:p>
      <w:pPr>
        <w:spacing w:after="26" w:before="15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How we work — think human first</w:t>
      </w:r>
    </w:p>
    <w:p>
      <w:pPr>
        <w:spacing w:after="100" w:before="16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6"/>
          <w:sz w:val="30"/>
          <w:szCs w:val="30"/>
        </w:rPr>
        <w:t xml:space="preserve">Understand the people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6"/>
          <w:sz w:val="30"/>
          <w:szCs w:val="30"/>
        </w:rPr>
        <w:t xml:space="preserve">before the technology.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01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Listen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Understand the people and the work before the technology.</w:t>
            </w:r>
          </w:p>
        </w:tc>
        <w:tc>
          <w:tcPr>
            <w:tcW w:type="dxa" w:w="225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40"/>
              <w:left w:type="dxa" w:w="15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02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Design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Shape the platform around how teams actually operate.</w:t>
            </w:r>
          </w:p>
        </w:tc>
        <w:tc>
          <w:tcPr>
            <w:tcW w:type="dxa" w:w="225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40"/>
              <w:left w:type="dxa" w:w="15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03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Deliver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Implement in weeks-long increments, not multi-year programs.</w:t>
            </w:r>
          </w:p>
        </w:tc>
        <w:tc>
          <w:tcPr>
            <w:tcW w:type="dxa" w:w="225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40"/>
              <w:left w:type="dxa" w:w="15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04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Care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Stay on after go-live; measure outcomes, not tickets.</w:t>
            </w:r>
          </w:p>
        </w:tc>
      </w:tr>
    </w:tbl>
    <w:p>
      <w:pPr>
        <w:spacing w:after="0" w:before="120"/>
      </w:pPr>
      <w:r>
        <w:rPr>
          <w:rFonts w:ascii="Inter" w:cs="Inter" w:eastAsia="Inter" w:hAnsi="Inter"/>
          <w:b w:val="false"/>
          <w:bCs w:val="false"/>
          <w:i w:val="false"/>
          <w:iCs w:val="false"/>
          <w:caps w:val="false"/>
          <w:color w:val="111111"/>
          <w:sz w:val="4"/>
          <w:szCs w:val="4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170"/>
              <w:left w:type="dxa" w:w="220"/>
              <w:bottom w:type="dxa" w:w="17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2"/>
                <w:sz w:val="17"/>
                <w:szCs w:val="17"/>
              </w:rPr>
              <w:t xml:space="preserve">Selected capabilities — Data &amp; AI</w:t>
            </w:r>
          </w:p>
          <w:p>
            <w:pPr>
              <w:spacing w:after="1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pacing w:val="-6"/>
                <w:sz w:val="30"/>
                <w:szCs w:val="30"/>
              </w:rPr>
              <w:t xml:space="preserve">The data foundation for current-data decisions.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ARCHITECTURE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Certified consultants design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Lakehouse architectures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 on your people and finance data.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PIPELINES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Build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Delta Lake pipelines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 — batch and streaming — on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Databricks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INTEGRATION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Integrate Databricks with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Workday, payroll and finance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OUTCOME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Deliver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governed KPI stores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 and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real-time insight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.</w:t>
            </w:r>
          </w:p>
        </w:tc>
      </w:tr>
    </w:tbl>
    <w:p>
      <w:pPr>
        <w:pBdr>
          <w:left w:val="single" w:color="EA493F" w:sz="30" w:space="14"/>
        </w:pBdr>
        <w:spacing w:after="30" w:before="130" w:line="264"/>
        <w:ind w:left="200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6"/>
          <w:sz w:val="31"/>
          <w:szCs w:val="31"/>
        </w:rPr>
        <w:t xml:space="preserve">“They delivered in weeks what we'd scoped for a year — and our team actually uses it.”</w:t>
      </w:r>
    </w:p>
    <w:p>
      <w:pPr>
        <w:pBdr>
          <w:left w:val="single" w:color="EA493F" w:sz="30" w:space="14"/>
        </w:pBdr>
        <w:spacing w:after="40"/>
        <w:ind w:left="200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AEAEAE"/>
          <w:sz w:val="17"/>
          <w:szCs w:val="17"/>
        </w:rPr>
        <w:t xml:space="preserve">People &amp; Payroll Director · national employer (illustrative)</w:t>
      </w:r>
    </w:p>
    <w:p>
      <w:pPr>
        <w:spacing w:after="30" w:before="11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By the numbers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40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10"/>
                <w:sz w:val="46"/>
                <w:szCs w:val="46"/>
              </w:rPr>
              <w:t xml:space="preserve">+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WORKDAY DEPLOYMENTS</w:t>
            </w:r>
          </w:p>
        </w:tc>
        <w:tc>
          <w:tcPr>
            <w:tcW w:type="dxa" w:w="225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20"/>
              <w:left w:type="dxa" w:w="15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98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10"/>
                <w:sz w:val="46"/>
                <w:szCs w:val="46"/>
              </w:rPr>
              <w:t xml:space="preserve">%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CLIENT RETENTION</w:t>
            </w:r>
          </w:p>
        </w:tc>
        <w:tc>
          <w:tcPr>
            <w:tcW w:type="dxa" w:w="225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20"/>
              <w:left w:type="dxa" w:w="15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120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10"/>
                <w:sz w:val="46"/>
                <w:szCs w:val="46"/>
              </w:rPr>
              <w:t xml:space="preserve">+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SPECIALISTS</w:t>
            </w:r>
          </w:p>
        </w:tc>
        <w:tc>
          <w:tcPr>
            <w:tcW w:type="dxa" w:w="225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20"/>
              <w:left w:type="dxa" w:w="15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4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SERVICE PILLARS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40" w:right="1440" w:bottom="11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4E0" w:sz="6" w:space="6"/>
      </w:pBdr>
      <w:tabs>
        <w:tab w:val="right" w:pos="9026"/>
      </w:tabs>
    </w:pPr>
    <w:r>
      <w:rPr>
        <w:rFonts w:ascii="Inter" w:cs="Inter" w:eastAsia="Inter" w:hAnsi="Inter"/>
        <w:b w:val="false"/>
        <w:bCs w:val="false"/>
        <w:i w:val="false"/>
        <w:iCs w:val="false"/>
        <w:caps w:val="false"/>
        <w:color w:val="323232"/>
        <w:sz w:val="16"/>
        <w:szCs w:val="16"/>
      </w:rPr>
      <w:t xml:space="preserve">hello@mivada.com · mivada.com · Sydney &amp; Melbourne</w:t>
    </w:r>
    <w:r>
      <w:rPr>
        <w:rFonts w:ascii="Inter" w:cs="Inter" w:eastAsia="Inter" w:hAnsi="Inter"/>
      </w:rPr>
      <w:t xml:space="preserve">	</w:t>
    </w:r>
    <w:r>
      <w:rPr>
        <w:rFonts w:ascii="Inter" w:cs="Inter" w:eastAsia="Inter" w:hAnsi="Inter"/>
        <w:color w:val="AEAEAE"/>
        <w:sz w:val="16"/>
        <w:szCs w:val="16"/>
      </w:rPr>
      <w:t xml:space="preserve">Figures illustrative · </w:t>
    </w:r>
    <w:r>
      <w:rPr>
        <w:rFonts w:ascii="Inter" w:cs="Inter" w:eastAsia="Inter" w:hAnsi="Inter"/>
        <w:color w:val="AEAEA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  <w:spacing w:after="0"/>
    </w:pPr>
    <w:r>
      <w:rPr>
        <w:rFonts w:ascii="Inter" w:cs="Inter" w:eastAsia="Inter" w:hAnsi="Inter"/>
        <w:b/>
        <w:bCs/>
        <w:i w:val="false"/>
        <w:iCs w:val="false"/>
        <w:caps w:val="false"/>
        <w:color w:val="111111"/>
        <w:spacing w:val="-2"/>
        <w:sz w:val="17"/>
        <w:szCs w:val="17"/>
      </w:rPr>
      <w:t xml:space="preserve">Mivada</w:t>
    </w:r>
    <w:r>
      <w:rPr>
        <w:rFonts w:ascii="Inter" w:cs="Inter" w:eastAsia="Inter" w:hAnsi="Inter"/>
        <w:color w:val="AEAEAE"/>
        <w:sz w:val="16"/>
        <w:szCs w:val="16"/>
      </w:rPr>
      <w:t xml:space="preserve">	Technology, human first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Inter" w:cs="Inter" w:eastAsia="Inter" w:hAnsi="Inter"/>
      <w:b/>
      <w:bCs/>
      <w:color w:val="11111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Inter" w:cs="Inter" w:eastAsia="Inter" w:hAnsi="Inter"/>
      <w:b/>
      <w:bCs/>
      <w:color w:val="11111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Mivada — Capability Statement 2026</dc:title>
  <dc:creator>Mivada</dc:creator>
  <cp:lastModifiedBy>Un-named</cp:lastModifiedBy>
  <cp:revision>1</cp:revision>
  <dcterms:created xsi:type="dcterms:W3CDTF">2026-06-05T22:22:40.648Z</dcterms:created>
  <dcterms:modified xsi:type="dcterms:W3CDTF">2026-06-05T22:22:40.648Z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