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single" w:color="EA493F" w:sz="2"/>
              <w:left w:val="single" w:color="EA493F" w:sz="2"/>
              <w:bottom w:val="single" w:color="EA493F" w:sz="2"/>
              <w:right w:val="single" w:color="EA493F" w:sz="2"/>
            </w:tcBorders>
            <w:shd w:fill="EA493F" w:color="auto" w:val="clear"/>
            <w:tcMar>
              <w:top w:type="dxa" w:w="230"/>
              <w:left w:type="dxa" w:w="260"/>
              <w:bottom w:type="dxa" w:w="250"/>
              <w:right w:type="dxa" w:w="260"/>
            </w:tcMar>
          </w:tcPr>
          <w:p>
            <w:pPr>
              <w:tabs>
                <w:tab w:val="right" w:pos="9666"/>
              </w:tabs>
              <w:spacing w:after="60" w:line="240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1" name="Mivada M chip" descr="Mivada M chip" title="Mivada M ch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nter" w:cs="Inter" w:eastAsia="Inter" w:hAnsi="Inter"/>
                <w:b/>
                <w:bCs/>
                <w:color w:val="FFFFFF"/>
                <w:sz w:val="30"/>
                <w:szCs w:val="30"/>
              </w:rPr>
              <w:t xml:space="preserve">  Mivada</w:t>
            </w:r>
            <w:r>
              <w:rPr>
                <w:rFonts w:ascii="Inter" w:cs="Inter" w:eastAsia="Inter" w:hAnsi="Inter"/>
              </w:rPr>
              <w:t xml:space="preserve">	</w:t>
            </w:r>
            <w:r>
              <w:rPr>
                <w:rFonts w:ascii="Inter" w:cs="Inter" w:eastAsia="Inter" w:hAnsi="Inter"/>
                <w:b/>
                <w:bCs/>
                <w:caps/>
                <w:color w:val="FFD9D4"/>
                <w:spacing w:val="24"/>
                <w:sz w:val="17"/>
                <w:szCs w:val="17"/>
              </w:rPr>
              <w:t xml:space="preserve">Capability Statement · 2026</w:t>
            </w:r>
          </w:p>
          <w:p>
            <w:pPr>
              <w:spacing w:after="70" w:before="60" w:line="264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/>
                <w:color w:val="FFD9D4"/>
                <w:spacing w:val="28"/>
                <w:sz w:val="16"/>
                <w:szCs w:val="16"/>
              </w:rPr>
              <w:t xml:space="preserve">Technology, human first</w:t>
            </w:r>
          </w:p>
          <w:p>
            <w:pPr>
              <w:spacing w:after="0" w:before="0" w:line="268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FFFFFF"/>
                <w:sz w:val="30"/>
                <w:szCs w:val="30"/>
              </w:rPr>
              <w:t xml:space="preserve">Enterprise platforms, turned into outcomes people feel.</w:t>
            </w:r>
          </w:p>
        </w:tc>
      </w:tr>
    </w:tbl>
    <w:p>
      <w:pPr>
        <w:spacing w:after="70" w:before="0" w:line="40"/>
      </w:pPr>
      <w:r>
        <w:rPr>
          <w:rFonts w:ascii="Inter" w:cs="Inter" w:eastAsia="Inter" w:hAnsi="Inter"/>
          <w:b w:val="false"/>
          <w:bCs w:val="false"/>
          <w:caps w:val="false"/>
          <w:color w:val="111111"/>
          <w:sz w:val="2"/>
          <w:szCs w:val="2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50"/>
        <w:gridCol w:w="120"/>
        <w:gridCol w:w="1250"/>
        <w:gridCol w:w="120"/>
        <w:gridCol w:w="1450"/>
        <w:gridCol w:w="120"/>
        <w:gridCol w:w="1650"/>
        <w:gridCol w:w="3646"/>
      </w:tblGrid>
      <w:tr>
        <w:tc>
          <w:tcPr>
            <w:tcW w:type="dxa" w:w="1850"/>
            <w:tcBorders>
              <w:top w:val="single" w:color="FCE7E4" w:sz="2"/>
              <w:left w:val="single" w:color="FCE7E4" w:sz="2"/>
              <w:bottom w:val="single" w:color="FCE7E4" w:sz="2"/>
              <w:right w:val="single" w:color="FCE7E4" w:sz="2"/>
            </w:tcBorders>
            <w:shd w:fill="FCE7E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aps w:val="false"/>
                <w:color w:val="C9362B"/>
                <w:sz w:val="17"/>
                <w:szCs w:val="17"/>
              </w:rPr>
              <w:t xml:space="preserve">Workday &amp; ERP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250"/>
            <w:tcBorders>
              <w:top w:val="single" w:color="FCE7E4" w:sz="2"/>
              <w:left w:val="single" w:color="FCE7E4" w:sz="2"/>
              <w:bottom w:val="single" w:color="FCE7E4" w:sz="2"/>
              <w:right w:val="single" w:color="FCE7E4" w:sz="2"/>
            </w:tcBorders>
            <w:shd w:fill="FCE7E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aps w:val="false"/>
                <w:color w:val="C9362B"/>
                <w:sz w:val="17"/>
                <w:szCs w:val="17"/>
              </w:rPr>
              <w:t xml:space="preserve">Payroll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50"/>
            <w:tcBorders>
              <w:top w:val="single" w:color="FCE7E4" w:sz="2"/>
              <w:left w:val="single" w:color="FCE7E4" w:sz="2"/>
              <w:bottom w:val="single" w:color="FCE7E4" w:sz="2"/>
              <w:right w:val="single" w:color="FCE7E4" w:sz="2"/>
            </w:tcBorders>
            <w:shd w:fill="FCE7E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aps w:val="false"/>
                <w:color w:val="C9362B"/>
                <w:sz w:val="17"/>
                <w:szCs w:val="17"/>
              </w:rPr>
              <w:t xml:space="preserve">Data &amp; AI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650"/>
            <w:tcBorders>
              <w:top w:val="single" w:color="FCE7E4" w:sz="2"/>
              <w:left w:val="single" w:color="FCE7E4" w:sz="2"/>
              <w:bottom w:val="single" w:color="FCE7E4" w:sz="2"/>
              <w:right w:val="single" w:color="FCE7E4" w:sz="2"/>
            </w:tcBorders>
            <w:shd w:fill="FCE7E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aps w:val="false"/>
                <w:color w:val="C9362B"/>
                <w:sz w:val="17"/>
                <w:szCs w:val="17"/>
              </w:rPr>
              <w:t xml:space="preserve">Automation</w:t>
            </w:r>
          </w:p>
        </w:tc>
        <w:tc>
          <w:tcPr>
            <w:tcW w:type="dxa" w:w="3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pacing w:after="120" w:before="0" w:line="40"/>
      </w:pPr>
      <w:r>
        <w:rPr>
          <w:rFonts w:ascii="Inter" w:cs="Inter" w:eastAsia="Inter" w:hAnsi="Inter"/>
          <w:b w:val="false"/>
          <w:bCs w:val="false"/>
          <w:caps w:val="false"/>
          <w:color w:val="111111"/>
          <w:sz w:val="2"/>
          <w:szCs w:val="2"/>
        </w:rPr>
        <w:t xml:space="preserve"/>
      </w:r>
    </w:p>
    <w:p>
      <w:pPr>
        <w:spacing w:after="160" w:before="0" w:line="288" w:lineRule="auto"/>
        <w:jc w:val="left"/>
      </w:pPr>
      <w:r>
        <w:rPr>
          <w:rFonts w:ascii="Inter" w:cs="Inter" w:eastAsia="Inter" w:hAnsi="Inter"/>
          <w:b/>
          <w:bCs/>
          <w:caps w:val="false"/>
          <w:color w:val="111111"/>
          <w:sz w:val="21"/>
          <w:szCs w:val="21"/>
        </w:rPr>
        <w:t xml:space="preserve">Mivada is an Australian technology consultancy</w:t>
      </w:r>
      <w:r>
        <w:rPr>
          <w:rFonts w:ascii="Inter" w:cs="Inter" w:eastAsia="Inter" w:hAnsi="Inter"/>
          <w:b w:val="false"/>
          <w:bCs w:val="false"/>
          <w:caps w:val="false"/>
          <w:color w:val="323232"/>
          <w:sz w:val="21"/>
          <w:szCs w:val="21"/>
        </w:rPr>
        <w:t xml:space="preserve"> that turns enterprise platforms — Workday, payroll, data and AI — into measurable human outcomes. Founded in 2014, we pair senior onshore leadership with cost-effective delivery from India, and we stay on after go-live to measure outcomes, not tickets closed. We think human first: people and the work come before the technology.</w:t>
      </w:r>
    </w:p>
    <w:p>
      <w:pPr>
        <w:pBdr>
          <w:bottom w:val="single" w:color="E4E4E0" w:sz="6" w:space="1"/>
        </w:pBdr>
        <w:spacing w:after="200" w:before="40" w:line="40"/>
      </w:pPr>
      <w:r>
        <w:rPr>
          <w:rFonts w:ascii="Inter" w:cs="Inter" w:eastAsia="Inter" w:hAnsi="Inter"/>
          <w:b w:val="false"/>
          <w:bCs w:val="false"/>
          <w:caps w:val="false"/>
          <w:color w:val="111111"/>
          <w:sz w:val="2"/>
          <w:szCs w:val="2"/>
        </w:rPr>
        <w:t xml:space="preserve"/>
      </w:r>
    </w:p>
    <w:p>
      <w:pPr>
        <w:spacing w:after="60" w:before="0" w:line="264" w:lineRule="auto"/>
        <w:jc w:val="left"/>
      </w:pPr>
      <w:r>
        <w:rPr>
          <w:rFonts w:ascii="Inter" w:cs="Inter" w:eastAsia="Inter" w:hAnsi="Inter"/>
          <w:b/>
          <w:bCs/>
          <w:caps/>
          <w:color w:val="EA493F"/>
          <w:spacing w:val="28"/>
          <w:sz w:val="16"/>
          <w:szCs w:val="16"/>
        </w:rPr>
        <w:t xml:space="preserve">What we do</w:t>
      </w:r>
    </w:p>
    <w:p>
      <w:pPr>
        <w:keepNext/>
        <w:spacing w:after="140" w:before="0" w:line="264" w:lineRule="auto"/>
        <w:jc w:val="left"/>
      </w:pPr>
      <w:r>
        <w:rPr>
          <w:rFonts w:ascii="Inter" w:cs="Inter" w:eastAsia="Inter" w:hAnsi="Inter"/>
          <w:b/>
          <w:bCs/>
          <w:caps w:val="false"/>
          <w:color w:val="111111"/>
          <w:sz w:val="24"/>
          <w:szCs w:val="24"/>
        </w:rPr>
        <w:t xml:space="preserve">Four service pillars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3"/>
        <w:gridCol w:w="200"/>
        <w:gridCol w:w="5003"/>
      </w:tblGrid>
      <w:tr>
        <w:tc>
          <w:tcPr>
            <w:tcW w:type="dxa" w:w="500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5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60" w:line="240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M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nter" w:cs="Inter" w:eastAsia="Inter" w:hAnsi="Inter"/>
                <w:b/>
                <w:bCs/>
                <w:color w:val="EA493F"/>
                <w:spacing w:val="18"/>
                <w:sz w:val="15"/>
                <w:szCs w:val="15"/>
              </w:rPr>
              <w:t xml:space="preserve">   01 · WORKDAY &amp; ERP</w:t>
            </w:r>
          </w:p>
          <w:p>
            <w:pPr>
              <w:spacing w:after="40" w:before="0" w:line="24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111111"/>
                <w:sz w:val="21"/>
                <w:szCs w:val="21"/>
              </w:rPr>
              <w:t xml:space="preserve">Workday &amp; ERP</w:t>
            </w:r>
          </w:p>
          <w:p>
            <w:pPr>
              <w:spacing w:after="0" w:before="0" w:line="248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323232"/>
                <w:sz w:val="18"/>
                <w:szCs w:val="18"/>
              </w:rPr>
              <w:t xml:space="preserve">Implementation, optimisation and managed support for Workday HCM, Financials and adjacent ERP.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500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5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60" w:line="240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M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nter" w:cs="Inter" w:eastAsia="Inter" w:hAnsi="Inter"/>
                <w:b/>
                <w:bCs/>
                <w:color w:val="EA493F"/>
                <w:spacing w:val="18"/>
                <w:sz w:val="15"/>
                <w:szCs w:val="15"/>
              </w:rPr>
              <w:t xml:space="preserve">   02 · PAYROLL CONSULTING</w:t>
            </w:r>
          </w:p>
          <w:p>
            <w:pPr>
              <w:spacing w:after="40" w:before="0" w:line="24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111111"/>
                <w:sz w:val="21"/>
                <w:szCs w:val="21"/>
              </w:rPr>
              <w:t xml:space="preserve">Payroll consulting</w:t>
            </w:r>
          </w:p>
          <w:p>
            <w:pPr>
              <w:spacing w:after="0" w:before="0" w:line="248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323232"/>
                <w:sz w:val="18"/>
                <w:szCs w:val="18"/>
              </w:rPr>
              <w:t xml:space="preserve">Compliant, accurate payroll across complex awards and multi-entity structures.</w:t>
            </w:r>
          </w:p>
        </w:tc>
      </w:tr>
      <w:tr>
        <w:tc>
          <w:tcPr>
            <w:tcW w:type="dxa" w:w="5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5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500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5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60" w:line="240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M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nter" w:cs="Inter" w:eastAsia="Inter" w:hAnsi="Inter"/>
                <w:b/>
                <w:bCs/>
                <w:color w:val="EA493F"/>
                <w:spacing w:val="18"/>
                <w:sz w:val="15"/>
                <w:szCs w:val="15"/>
              </w:rPr>
              <w:t xml:space="preserve">   03 · DATA &amp; AI</w:t>
            </w:r>
          </w:p>
          <w:p>
            <w:pPr>
              <w:spacing w:after="40" w:before="0" w:line="24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111111"/>
                <w:sz w:val="21"/>
                <w:szCs w:val="21"/>
              </w:rPr>
              <w:t xml:space="preserve">Data &amp; AI</w:t>
            </w:r>
          </w:p>
          <w:p>
            <w:pPr>
              <w:spacing w:after="0" w:before="0" w:line="248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323232"/>
                <w:sz w:val="18"/>
                <w:szCs w:val="18"/>
              </w:rPr>
              <w:t xml:space="preserve">Lakehouse architecture, governed analytics and applied AI on your people and finance data.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500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5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60" w:line="240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M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nter" w:cs="Inter" w:eastAsia="Inter" w:hAnsi="Inter"/>
                <w:b/>
                <w:bCs/>
                <w:color w:val="EA493F"/>
                <w:spacing w:val="18"/>
                <w:sz w:val="15"/>
                <w:szCs w:val="15"/>
              </w:rPr>
              <w:t xml:space="preserve">   04 · INTELLIGENT AUTOMATION</w:t>
            </w:r>
          </w:p>
          <w:p>
            <w:pPr>
              <w:spacing w:after="40" w:before="0" w:line="24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111111"/>
                <w:sz w:val="21"/>
                <w:szCs w:val="21"/>
              </w:rPr>
              <w:t xml:space="preserve">Intelligent automation</w:t>
            </w:r>
          </w:p>
          <w:p>
            <w:pPr>
              <w:spacing w:after="0" w:before="0" w:line="248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323232"/>
                <w:sz w:val="18"/>
                <w:szCs w:val="18"/>
              </w:rPr>
              <w:t xml:space="preserve">RPA, ML and process design combined to remove low-value work for good.</w:t>
            </w:r>
          </w:p>
        </w:tc>
      </w:tr>
    </w:tbl>
    <w:p>
      <w:pPr>
        <w:spacing w:after="150" w:before="0" w:line="40"/>
      </w:pPr>
      <w:r>
        <w:rPr>
          <w:rFonts w:ascii="Inter" w:cs="Inter" w:eastAsia="Inter" w:hAnsi="Inter"/>
          <w:b w:val="false"/>
          <w:bCs w:val="false"/>
          <w:caps w:val="false"/>
          <w:color w:val="111111"/>
          <w:sz w:val="2"/>
          <w:szCs w:val="2"/>
        </w:rPr>
        <w:t xml:space="preserve"/>
      </w:r>
    </w:p>
    <w:p>
      <w:pPr>
        <w:spacing w:after="60" w:before="0" w:line="264" w:lineRule="auto"/>
        <w:jc w:val="left"/>
      </w:pPr>
      <w:r>
        <w:rPr>
          <w:rFonts w:ascii="Inter" w:cs="Inter" w:eastAsia="Inter" w:hAnsi="Inter"/>
          <w:b/>
          <w:bCs/>
          <w:caps/>
          <w:color w:val="EA493F"/>
          <w:spacing w:val="28"/>
          <w:sz w:val="16"/>
          <w:szCs w:val="16"/>
        </w:rPr>
        <w:t xml:space="preserve">How we work — think human first</w:t>
      </w:r>
    </w:p>
    <w:p>
      <w:pPr>
        <w:keepNext/>
        <w:spacing w:after="120" w:before="0" w:line="264" w:lineRule="auto"/>
        <w:jc w:val="left"/>
      </w:pPr>
      <w:r>
        <w:rPr>
          <w:rFonts w:ascii="Inter" w:cs="Inter" w:eastAsia="Inter" w:hAnsi="Inter"/>
          <w:b/>
          <w:bCs/>
          <w:caps w:val="false"/>
          <w:color w:val="111111"/>
          <w:sz w:val="24"/>
          <w:szCs w:val="24"/>
        </w:rPr>
        <w:t xml:space="preserve">Listen · Design · Deliver · Care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46"/>
        <w:gridCol w:w="140"/>
        <w:gridCol w:w="2446"/>
        <w:gridCol w:w="140"/>
        <w:gridCol w:w="2446"/>
        <w:gridCol w:w="140"/>
        <w:gridCol w:w="2446"/>
      </w:tblGrid>
      <w:tr>
        <w:tc>
          <w:tcPr>
            <w:tcW w:type="dxa" w:w="2446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50"/>
              <w:left w:type="dxa" w:w="160"/>
              <w:bottom w:type="dxa" w:w="160"/>
              <w:right w:type="dxa" w:w="160"/>
            </w:tcMar>
            <w:vAlign w:val="top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c>
                <w:tcPr>
                  <w:tcW w:type="dxa" w:w="1100"/>
                  <w:tcBorders>
                    <w:top w:val="single" w:color="111111" w:sz="2"/>
                    <w:left w:val="single" w:color="111111" w:sz="2"/>
                    <w:bottom w:val="single" w:color="111111" w:sz="2"/>
                    <w:right w:val="single" w:color="111111" w:sz="2"/>
                  </w:tcBorders>
                  <w:shd w:fill="111111" w:color="auto" w:val="clear"/>
                  <w:tcMar>
                    <w:top w:type="dxa" w:w="20"/>
                    <w:left w:type="dxa" w:w="110"/>
                    <w:bottom w:type="dxa" w:w="24"/>
                    <w:right w:type="dxa" w:w="110"/>
                  </w:tcMar>
                  <w:vAlign w:val="center"/>
                </w:tcPr>
                <w:p>
                  <w:pPr>
                    <w:spacing w:after="0" w:before="0" w:line="220" w:lineRule="auto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aps w:val="false"/>
                      <w:color w:val="FFFFFF"/>
                      <w:sz w:val="16"/>
                      <w:szCs w:val="16"/>
                    </w:rPr>
                    <w:t xml:space="preserve">Listen</w:t>
                  </w:r>
                </w:p>
              </w:tc>
            </w:tr>
          </w:tbl>
          <w:p>
            <w:pPr>
              <w:spacing w:after="60" w:before="60" w:line="22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EA493F"/>
                <w:spacing w:val="16"/>
                <w:sz w:val="15"/>
                <w:szCs w:val="15"/>
              </w:rPr>
              <w:t xml:space="preserve">Step 01</w:t>
            </w:r>
          </w:p>
          <w:p>
            <w:pPr>
              <w:spacing w:after="0" w:before="0" w:line="248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323232"/>
                <w:sz w:val="17"/>
                <w:szCs w:val="17"/>
              </w:rPr>
              <w:t xml:space="preserve">Understand the people and the work before the technology.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46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50"/>
              <w:left w:type="dxa" w:w="160"/>
              <w:bottom w:type="dxa" w:w="160"/>
              <w:right w:type="dxa" w:w="160"/>
            </w:tcMar>
            <w:vAlign w:val="top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c>
                <w:tcPr>
                  <w:tcW w:type="dxa" w:w="1100"/>
                  <w:tcBorders>
                    <w:top w:val="single" w:color="111111" w:sz="2"/>
                    <w:left w:val="single" w:color="111111" w:sz="2"/>
                    <w:bottom w:val="single" w:color="111111" w:sz="2"/>
                    <w:right w:val="single" w:color="111111" w:sz="2"/>
                  </w:tcBorders>
                  <w:shd w:fill="111111" w:color="auto" w:val="clear"/>
                  <w:tcMar>
                    <w:top w:type="dxa" w:w="20"/>
                    <w:left w:type="dxa" w:w="110"/>
                    <w:bottom w:type="dxa" w:w="24"/>
                    <w:right w:type="dxa" w:w="110"/>
                  </w:tcMar>
                  <w:vAlign w:val="center"/>
                </w:tcPr>
                <w:p>
                  <w:pPr>
                    <w:spacing w:after="0" w:before="0" w:line="220" w:lineRule="auto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aps w:val="false"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>
            <w:pPr>
              <w:spacing w:after="60" w:before="60" w:line="22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EA493F"/>
                <w:spacing w:val="16"/>
                <w:sz w:val="15"/>
                <w:szCs w:val="15"/>
              </w:rPr>
              <w:t xml:space="preserve">Step 02</w:t>
            </w:r>
          </w:p>
          <w:p>
            <w:pPr>
              <w:spacing w:after="0" w:before="0" w:line="248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323232"/>
                <w:sz w:val="17"/>
                <w:szCs w:val="17"/>
              </w:rPr>
              <w:t xml:space="preserve">Shape the platform around how teams actually operate.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46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50"/>
              <w:left w:type="dxa" w:w="160"/>
              <w:bottom w:type="dxa" w:w="160"/>
              <w:right w:type="dxa" w:w="160"/>
            </w:tcMar>
            <w:vAlign w:val="top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c>
                <w:tcPr>
                  <w:tcW w:type="dxa" w:w="1100"/>
                  <w:tcBorders>
                    <w:top w:val="single" w:color="111111" w:sz="2"/>
                    <w:left w:val="single" w:color="111111" w:sz="2"/>
                    <w:bottom w:val="single" w:color="111111" w:sz="2"/>
                    <w:right w:val="single" w:color="111111" w:sz="2"/>
                  </w:tcBorders>
                  <w:shd w:fill="111111" w:color="auto" w:val="clear"/>
                  <w:tcMar>
                    <w:top w:type="dxa" w:w="20"/>
                    <w:left w:type="dxa" w:w="110"/>
                    <w:bottom w:type="dxa" w:w="24"/>
                    <w:right w:type="dxa" w:w="110"/>
                  </w:tcMar>
                  <w:vAlign w:val="center"/>
                </w:tcPr>
                <w:p>
                  <w:pPr>
                    <w:spacing w:after="0" w:before="0" w:line="220" w:lineRule="auto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aps w:val="false"/>
                      <w:color w:val="FFFFFF"/>
                      <w:sz w:val="16"/>
                      <w:szCs w:val="16"/>
                    </w:rPr>
                    <w:t xml:space="preserve">Deliver</w:t>
                  </w:r>
                </w:p>
              </w:tc>
            </w:tr>
          </w:tbl>
          <w:p>
            <w:pPr>
              <w:spacing w:after="60" w:before="60" w:line="22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EA493F"/>
                <w:spacing w:val="16"/>
                <w:sz w:val="15"/>
                <w:szCs w:val="15"/>
              </w:rPr>
              <w:t xml:space="preserve">Step 03</w:t>
            </w:r>
          </w:p>
          <w:p>
            <w:pPr>
              <w:spacing w:after="0" w:before="0" w:line="248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323232"/>
                <w:sz w:val="17"/>
                <w:szCs w:val="17"/>
              </w:rPr>
              <w:t xml:space="preserve">Implement in weeks-long increments, not multi-year programs.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46"/>
            <w:tcBorders>
              <w:top w:val="single" w:color="EA493F" w:sz="2"/>
              <w:left w:val="single" w:color="EA493F" w:sz="2"/>
              <w:bottom w:val="single" w:color="EA493F" w:sz="2"/>
              <w:right w:val="single" w:color="EA493F" w:sz="2"/>
            </w:tcBorders>
            <w:shd w:fill="EA493F" w:color="auto" w:val="clear"/>
            <w:tcMar>
              <w:top w:type="dxa" w:w="150"/>
              <w:left w:type="dxa" w:w="160"/>
              <w:bottom w:type="dxa" w:w="160"/>
              <w:right w:type="dxa" w:w="160"/>
            </w:tcMar>
            <w:vAlign w:val="top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c>
                <w:tcPr>
                  <w:tcW w:type="dxa" w:w="110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FFFFFF" w:color="auto" w:val="clear"/>
                  <w:tcMar>
                    <w:top w:type="dxa" w:w="20"/>
                    <w:left w:type="dxa" w:w="110"/>
                    <w:bottom w:type="dxa" w:w="24"/>
                    <w:right w:type="dxa" w:w="110"/>
                  </w:tcMar>
                  <w:vAlign w:val="center"/>
                </w:tcPr>
                <w:p>
                  <w:pPr>
                    <w:spacing w:after="0" w:before="0" w:line="220" w:lineRule="auto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aps w:val="false"/>
                      <w:color w:val="C9362B"/>
                      <w:sz w:val="16"/>
                      <w:szCs w:val="16"/>
                    </w:rPr>
                    <w:t xml:space="preserve">Care</w:t>
                  </w:r>
                </w:p>
              </w:tc>
            </w:tr>
          </w:tbl>
          <w:p>
            <w:pPr>
              <w:spacing w:after="60" w:before="60" w:line="22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FFD9D4"/>
                <w:spacing w:val="16"/>
                <w:sz w:val="15"/>
                <w:szCs w:val="15"/>
              </w:rPr>
              <w:t xml:space="preserve">Step 04</w:t>
            </w:r>
          </w:p>
          <w:p>
            <w:pPr>
              <w:spacing w:after="0" w:before="0" w:line="248" w:lineRule="auto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aps w:val="false"/>
                <w:color w:val="FFFFFF"/>
                <w:sz w:val="17"/>
                <w:szCs w:val="17"/>
              </w:rPr>
              <w:t xml:space="preserve">Stay on after go-live; measure outcomes, not tickets closed.</w:t>
            </w:r>
          </w:p>
        </w:tc>
      </w:tr>
    </w:tbl>
    <w:p>
      <w:pPr>
        <w:spacing w:after="150" w:before="0" w:line="40"/>
      </w:pPr>
      <w:r>
        <w:rPr>
          <w:rFonts w:ascii="Inter" w:cs="Inter" w:eastAsia="Inter" w:hAnsi="Inter"/>
          <w:b w:val="false"/>
          <w:bCs w:val="false"/>
          <w:caps w:val="false"/>
          <w:color w:val="111111"/>
          <w:sz w:val="2"/>
          <w:szCs w:val="2"/>
        </w:rPr>
        <w:t xml:space="preserve"/>
      </w:r>
    </w:p>
    <w:p>
      <w:pPr>
        <w:pBdr>
          <w:bottom w:val="single" w:color="E4E4E0" w:sz="6" w:space="1"/>
        </w:pBdr>
        <w:spacing w:after="200" w:before="40" w:line="40"/>
      </w:pPr>
      <w:r>
        <w:rPr>
          <w:rFonts w:ascii="Inter" w:cs="Inter" w:eastAsia="Inter" w:hAnsi="Inter"/>
          <w:b w:val="false"/>
          <w:bCs w:val="false"/>
          <w:caps w:val="false"/>
          <w:color w:val="111111"/>
          <w:sz w:val="2"/>
          <w:szCs w:val="2"/>
        </w:rPr>
        <w:t xml:space="preserve"/>
      </w:r>
    </w:p>
    <w:p>
      <w:pPr>
        <w:spacing w:after="60" w:before="0" w:line="264" w:lineRule="auto"/>
        <w:jc w:val="left"/>
      </w:pPr>
      <w:r>
        <w:rPr>
          <w:rFonts w:ascii="Inter" w:cs="Inter" w:eastAsia="Inter" w:hAnsi="Inter"/>
          <w:b/>
          <w:bCs/>
          <w:caps/>
          <w:color w:val="EA493F"/>
          <w:spacing w:val="28"/>
          <w:sz w:val="16"/>
          <w:szCs w:val="16"/>
        </w:rPr>
        <w:t xml:space="preserve">Selected capabilities — Data &amp; AI</w:t>
      </w:r>
    </w:p>
    <w:p>
      <w:pPr>
        <w:keepNext/>
        <w:spacing w:after="120" w:before="0" w:line="264" w:lineRule="auto"/>
        <w:jc w:val="left"/>
      </w:pPr>
      <w:r>
        <w:rPr>
          <w:rFonts w:ascii="Inter" w:cs="Inter" w:eastAsia="Inter" w:hAnsi="Inter"/>
          <w:b/>
          <w:bCs/>
          <w:caps w:val="false"/>
          <w:color w:val="111111"/>
          <w:sz w:val="24"/>
          <w:szCs w:val="24"/>
        </w:rPr>
        <w:t xml:space="preserve">Leaders decide on current data</w:t>
      </w:r>
    </w:p>
    <w:p>
      <w:pPr>
        <w:spacing w:after="70" w:line="252"/>
        <w:ind w:left="360" w:hanging="360"/>
      </w:pPr>
      <w:r>
        <w:rPr>
          <w:rFonts w:ascii="Inter" w:cs="Inter" w:eastAsia="Inter" w:hAnsi="Inter"/>
          <w:b/>
          <w:bCs/>
          <w:caps w:val="false"/>
          <w:color w:val="EA493F"/>
          <w:sz w:val="19"/>
          <w:szCs w:val="19"/>
        </w:rPr>
        <w:t xml:space="preserve">01   </w:t>
      </w:r>
      <w:r>
        <w:rPr>
          <w:rFonts w:ascii="Inter" w:cs="Inter" w:eastAsia="Inter" w:hAnsi="Inter"/>
          <w:b/>
          <w:bCs/>
          <w:caps w:val="false"/>
          <w:color w:val="111111"/>
          <w:sz w:val="19"/>
          <w:szCs w:val="19"/>
        </w:rPr>
        <w:t xml:space="preserve">Lakehouse architecture — </w:t>
      </w:r>
      <w:r>
        <w:rPr>
          <w:rFonts w:ascii="Inter" w:cs="Inter" w:eastAsia="Inter" w:hAnsi="Inter"/>
          <w:b w:val="false"/>
          <w:bCs w:val="false"/>
          <w:caps w:val="false"/>
          <w:color w:val="323232"/>
          <w:sz w:val="19"/>
          <w:szCs w:val="19"/>
        </w:rPr>
        <w:t xml:space="preserve">Designed by certified consultants around your platforms.</w:t>
      </w:r>
    </w:p>
    <w:p>
      <w:pPr>
        <w:spacing w:after="70" w:line="252"/>
        <w:ind w:left="360" w:hanging="360"/>
      </w:pPr>
      <w:r>
        <w:rPr>
          <w:rFonts w:ascii="Inter" w:cs="Inter" w:eastAsia="Inter" w:hAnsi="Inter"/>
          <w:b/>
          <w:bCs/>
          <w:caps w:val="false"/>
          <w:color w:val="EA493F"/>
          <w:sz w:val="19"/>
          <w:szCs w:val="19"/>
        </w:rPr>
        <w:t xml:space="preserve">02   </w:t>
      </w:r>
      <w:r>
        <w:rPr>
          <w:rFonts w:ascii="Inter" w:cs="Inter" w:eastAsia="Inter" w:hAnsi="Inter"/>
          <w:b/>
          <w:bCs/>
          <w:caps w:val="false"/>
          <w:color w:val="111111"/>
          <w:sz w:val="19"/>
          <w:szCs w:val="19"/>
        </w:rPr>
        <w:t xml:space="preserve">Delta Lake pipelines — </w:t>
      </w:r>
      <w:r>
        <w:rPr>
          <w:rFonts w:ascii="Inter" w:cs="Inter" w:eastAsia="Inter" w:hAnsi="Inter"/>
          <w:b w:val="false"/>
          <w:bCs w:val="false"/>
          <w:caps w:val="false"/>
          <w:color w:val="323232"/>
          <w:sz w:val="19"/>
          <w:szCs w:val="19"/>
        </w:rPr>
        <w:t xml:space="preserve">Batch and streaming, built to govern and to scale.</w:t>
      </w:r>
    </w:p>
    <w:p>
      <w:pPr>
        <w:spacing w:after="70" w:line="252"/>
        <w:ind w:left="360" w:hanging="360"/>
      </w:pPr>
      <w:r>
        <w:rPr>
          <w:rFonts w:ascii="Inter" w:cs="Inter" w:eastAsia="Inter" w:hAnsi="Inter"/>
          <w:b/>
          <w:bCs/>
          <w:caps w:val="false"/>
          <w:color w:val="EA493F"/>
          <w:sz w:val="19"/>
          <w:szCs w:val="19"/>
        </w:rPr>
        <w:t xml:space="preserve">03   </w:t>
      </w:r>
      <w:r>
        <w:rPr>
          <w:rFonts w:ascii="Inter" w:cs="Inter" w:eastAsia="Inter" w:hAnsi="Inter"/>
          <w:b/>
          <w:bCs/>
          <w:caps w:val="false"/>
          <w:color w:val="111111"/>
          <w:sz w:val="19"/>
          <w:szCs w:val="19"/>
        </w:rPr>
        <w:t xml:space="preserve">Databricks integration — </w:t>
      </w:r>
      <w:r>
        <w:rPr>
          <w:rFonts w:ascii="Inter" w:cs="Inter" w:eastAsia="Inter" w:hAnsi="Inter"/>
          <w:b w:val="false"/>
          <w:bCs w:val="false"/>
          <w:caps w:val="false"/>
          <w:color w:val="323232"/>
          <w:sz w:val="19"/>
          <w:szCs w:val="19"/>
        </w:rPr>
        <w:t xml:space="preserve">Connected to Workday, payroll and finance.</w:t>
      </w:r>
    </w:p>
    <w:p>
      <w:pPr>
        <w:spacing w:after="70" w:line="252"/>
        <w:ind w:left="360" w:hanging="360"/>
      </w:pPr>
      <w:r>
        <w:rPr>
          <w:rFonts w:ascii="Inter" w:cs="Inter" w:eastAsia="Inter" w:hAnsi="Inter"/>
          <w:b/>
          <w:bCs/>
          <w:caps w:val="false"/>
          <w:color w:val="EA493F"/>
          <w:sz w:val="19"/>
          <w:szCs w:val="19"/>
        </w:rPr>
        <w:t xml:space="preserve">04   </w:t>
      </w:r>
      <w:r>
        <w:rPr>
          <w:rFonts w:ascii="Inter" w:cs="Inter" w:eastAsia="Inter" w:hAnsi="Inter"/>
          <w:b/>
          <w:bCs/>
          <w:caps w:val="false"/>
          <w:color w:val="111111"/>
          <w:sz w:val="19"/>
          <w:szCs w:val="19"/>
        </w:rPr>
        <w:t xml:space="preserve">Governed KPI store — </w:t>
      </w:r>
      <w:r>
        <w:rPr>
          <w:rFonts w:ascii="Inter" w:cs="Inter" w:eastAsia="Inter" w:hAnsi="Inter"/>
          <w:b w:val="false"/>
          <w:bCs w:val="false"/>
          <w:caps w:val="false"/>
          <w:color w:val="323232"/>
          <w:sz w:val="19"/>
          <w:szCs w:val="19"/>
        </w:rPr>
        <w:t xml:space="preserve">A single, trusted source for the numbers that matter.</w:t>
      </w:r>
    </w:p>
    <w:p>
      <w:pPr>
        <w:spacing w:after="70" w:line="252"/>
        <w:ind w:left="360" w:hanging="360"/>
      </w:pPr>
      <w:r>
        <w:rPr>
          <w:rFonts w:ascii="Inter" w:cs="Inter" w:eastAsia="Inter" w:hAnsi="Inter"/>
          <w:b/>
          <w:bCs/>
          <w:caps w:val="false"/>
          <w:color w:val="EA493F"/>
          <w:sz w:val="19"/>
          <w:szCs w:val="19"/>
        </w:rPr>
        <w:t xml:space="preserve">05   </w:t>
      </w:r>
      <w:r>
        <w:rPr>
          <w:rFonts w:ascii="Inter" w:cs="Inter" w:eastAsia="Inter" w:hAnsi="Inter"/>
          <w:b/>
          <w:bCs/>
          <w:caps w:val="false"/>
          <w:color w:val="111111"/>
          <w:sz w:val="19"/>
          <w:szCs w:val="19"/>
        </w:rPr>
        <w:t xml:space="preserve">Real-time insight — </w:t>
      </w:r>
      <w:r>
        <w:rPr>
          <w:rFonts w:ascii="Inter" w:cs="Inter" w:eastAsia="Inter" w:hAnsi="Inter"/>
          <w:b w:val="false"/>
          <w:bCs w:val="false"/>
          <w:caps w:val="false"/>
          <w:color w:val="323232"/>
          <w:sz w:val="19"/>
          <w:szCs w:val="19"/>
        </w:rPr>
        <w:t xml:space="preserve">So leaders decide on what is true right now.</w:t>
      </w:r>
    </w:p>
    <w:p>
      <w:pPr>
        <w:spacing w:after="150" w:before="0" w:line="40"/>
      </w:pPr>
      <w:r>
        <w:rPr>
          <w:rFonts w:ascii="Inter" w:cs="Inter" w:eastAsia="Inter" w:hAnsi="Inter"/>
          <w:b w:val="false"/>
          <w:bCs w:val="false"/>
          <w:caps w:val="false"/>
          <w:color w:val="111111"/>
          <w:sz w:val="2"/>
          <w:szCs w:val="2"/>
        </w:rPr>
        <w:t xml:space="preserve"/>
      </w:r>
    </w:p>
    <w:p>
      <w:pPr>
        <w:spacing w:after="60" w:before="0" w:line="264" w:lineRule="auto"/>
        <w:jc w:val="left"/>
      </w:pPr>
      <w:r>
        <w:rPr>
          <w:rFonts w:ascii="Inter" w:cs="Inter" w:eastAsia="Inter" w:hAnsi="Inter"/>
          <w:b/>
          <w:bCs/>
          <w:caps/>
          <w:color w:val="EA493F"/>
          <w:spacing w:val="28"/>
          <w:sz w:val="16"/>
          <w:szCs w:val="16"/>
        </w:rPr>
        <w:t xml:space="preserve">By the numbers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3"/>
      </w:tblGrid>
      <w:tr>
        <w:trPr>
          <w:tblHeader/>
        </w:trPr>
        <w:tc>
          <w:tcPr>
            <w:tcW w:type="dxa" w:w="2551"/>
            <w:tcBorders>
              <w:top w:val="single" w:color="EA493F" w:sz="4"/>
              <w:left w:val="single" w:color="EA493F" w:sz="8"/>
              <w:bottom w:val="single" w:color="FFFFFF" w:sz="8"/>
              <w:right w:val="single" w:color="EA493F" w:sz="4"/>
            </w:tcBorders>
            <w:shd w:fill="EA493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0" w:before="0" w:line="22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24"/>
                <w:sz w:val="16"/>
                <w:szCs w:val="16"/>
              </w:rPr>
              <w:t xml:space="preserve">Mivada by the numbers</w:t>
            </w:r>
          </w:p>
        </w:tc>
        <w:tc>
          <w:tcPr>
            <w:tcW w:type="dxa" w:w="2551"/>
            <w:tcBorders>
              <w:top w:val="single" w:color="EA493F" w:sz="4"/>
              <w:left w:val="single" w:color="FFFFFF" w:sz="8"/>
              <w:bottom w:val="single" w:color="FFFFFF" w:sz="8"/>
              <w:right w:val="single" w:color="EA493F" w:sz="4"/>
            </w:tcBorders>
            <w:shd w:fill="EA493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0" w:before="0" w:line="22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24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EA493F" w:sz="4"/>
              <w:left w:val="single" w:color="FFFFFF" w:sz="8"/>
              <w:bottom w:val="single" w:color="FFFFFF" w:sz="8"/>
              <w:right w:val="single" w:color="EA493F" w:sz="4"/>
            </w:tcBorders>
            <w:shd w:fill="EA493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0" w:before="0" w:line="22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24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EA493F" w:sz="4"/>
              <w:left w:val="single" w:color="FFFFFF" w:sz="8"/>
              <w:bottom w:val="single" w:color="FFFFFF" w:sz="8"/>
              <w:right w:val="single" w:color="EA493F" w:sz="4"/>
            </w:tcBorders>
            <w:shd w:fill="EA493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0" w:before="0" w:line="22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51"/>
            <w:tcBorders>
              <w:top w:val="single" w:color="FFFFFF" w:sz="8"/>
              <w:left w:val="single" w:color="F2F3EE" w:sz="8"/>
              <w:bottom w:val="single" w:color="FFFFFF" w:sz="4"/>
              <w:right w:val="single" w:color="F2F3EE" w:sz="4"/>
            </w:tcBorders>
            <w:shd w:fill="F2F3EE" w:color="auto" w:val="clear"/>
            <w:tcMar>
              <w:top w:type="dxa" w:w="140"/>
              <w:left w:type="dxa" w:w="160"/>
              <w:bottom w:type="dxa" w:w="40"/>
              <w:right w:type="dxa" w:w="160"/>
            </w:tcMar>
            <w:vAlign w:val="bottom"/>
          </w:tcPr>
          <w:p>
            <w:pPr>
              <w:spacing w:after="0" w:before="0" w:line="24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EA493F"/>
                <w:sz w:val="44"/>
                <w:szCs w:val="44"/>
              </w:rPr>
              <w:t xml:space="preserve">120+</w:t>
            </w:r>
          </w:p>
        </w:tc>
        <w:tc>
          <w:tcPr>
            <w:tcW w:type="dxa" w:w="2551"/>
            <w:tcBorders>
              <w:top w:val="single" w:color="FFFFFF" w:sz="8"/>
              <w:left w:val="single" w:color="FFFFFF" w:sz="8"/>
              <w:bottom w:val="single" w:color="FFFFFF" w:sz="4"/>
              <w:right w:val="single" w:color="F2F3EE" w:sz="4"/>
            </w:tcBorders>
            <w:shd w:fill="F2F3EE" w:color="auto" w:val="clear"/>
            <w:tcMar>
              <w:top w:type="dxa" w:w="140"/>
              <w:left w:type="dxa" w:w="160"/>
              <w:bottom w:type="dxa" w:w="40"/>
              <w:right w:type="dxa" w:w="160"/>
            </w:tcMar>
            <w:vAlign w:val="bottom"/>
          </w:tcPr>
          <w:p>
            <w:pPr>
              <w:spacing w:after="0" w:before="0" w:line="24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EA493F"/>
                <w:sz w:val="44"/>
                <w:szCs w:val="44"/>
              </w:rPr>
              <w:t xml:space="preserve">40+</w:t>
            </w:r>
          </w:p>
        </w:tc>
        <w:tc>
          <w:tcPr>
            <w:tcW w:type="dxa" w:w="2551"/>
            <w:tcBorders>
              <w:top w:val="single" w:color="FFFFFF" w:sz="8"/>
              <w:left w:val="single" w:color="FFFFFF" w:sz="8"/>
              <w:bottom w:val="single" w:color="FFFFFF" w:sz="4"/>
              <w:right w:val="single" w:color="F2F3EE" w:sz="4"/>
            </w:tcBorders>
            <w:shd w:fill="F2F3EE" w:color="auto" w:val="clear"/>
            <w:tcMar>
              <w:top w:type="dxa" w:w="140"/>
              <w:left w:type="dxa" w:w="160"/>
              <w:bottom w:type="dxa" w:w="40"/>
              <w:right w:type="dxa" w:w="160"/>
            </w:tcMar>
            <w:vAlign w:val="bottom"/>
          </w:tcPr>
          <w:p>
            <w:pPr>
              <w:spacing w:after="0" w:before="0" w:line="24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EA493F"/>
                <w:sz w:val="44"/>
                <w:szCs w:val="44"/>
              </w:rPr>
              <w:t xml:space="preserve">98%</w:t>
            </w:r>
          </w:p>
        </w:tc>
        <w:tc>
          <w:tcPr>
            <w:tcW w:type="dxa" w:w="2553"/>
            <w:tcBorders>
              <w:top w:val="single" w:color="FFFFFF" w:sz="8"/>
              <w:left w:val="single" w:color="FFFFFF" w:sz="8"/>
              <w:bottom w:val="single" w:color="FFFFFF" w:sz="4"/>
              <w:right w:val="single" w:color="F2F3EE" w:sz="4"/>
            </w:tcBorders>
            <w:shd w:fill="F2F3EE" w:color="auto" w:val="clear"/>
            <w:tcMar>
              <w:top w:type="dxa" w:w="140"/>
              <w:left w:type="dxa" w:w="160"/>
              <w:bottom w:type="dxa" w:w="40"/>
              <w:right w:type="dxa" w:w="160"/>
            </w:tcMar>
            <w:vAlign w:val="bottom"/>
          </w:tcPr>
          <w:p>
            <w:pPr>
              <w:spacing w:after="0" w:before="0" w:line="240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EA493F"/>
                <w:sz w:val="44"/>
                <w:szCs w:val="44"/>
              </w:rPr>
              <w:t xml:space="preserve">2014</w:t>
            </w:r>
          </w:p>
        </w:tc>
      </w:tr>
      <w:tr>
        <w:tc>
          <w:tcPr>
            <w:tcW w:type="dxa" w:w="2551"/>
            <w:tcBorders>
              <w:top w:val="single" w:color="FFFFFF" w:sz="4"/>
              <w:left w:val="single" w:color="F2F3EE" w:sz="8"/>
              <w:bottom w:val="single" w:color="F2F3EE" w:sz="4"/>
              <w:right w:val="single" w:color="F2F3EE" w:sz="4"/>
            </w:tcBorders>
            <w:shd w:fill="F2F3EE" w:color="auto" w:val="clear"/>
            <w:tcMar>
              <w:top w:type="dxa" w:w="20"/>
              <w:left w:type="dxa" w:w="160"/>
              <w:bottom w:type="dxa" w:w="150"/>
              <w:right w:type="dxa" w:w="160"/>
            </w:tcMar>
            <w:vAlign w:val="top"/>
          </w:tcPr>
          <w:p>
            <w:pPr>
              <w:spacing w:after="0" w:before="0" w:line="224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323232"/>
                <w:sz w:val="18"/>
                <w:szCs w:val="18"/>
              </w:rPr>
              <w:t xml:space="preserve">Specialists</w:t>
            </w:r>
          </w:p>
        </w:tc>
        <w:tc>
          <w:tcPr>
            <w:tcW w:type="dxa" w:w="2551"/>
            <w:tcBorders>
              <w:top w:val="single" w:color="FFFFFF" w:sz="4"/>
              <w:left w:val="single" w:color="FFFFFF" w:sz="8"/>
              <w:bottom w:val="single" w:color="F2F3EE" w:sz="4"/>
              <w:right w:val="single" w:color="F2F3EE" w:sz="4"/>
            </w:tcBorders>
            <w:shd w:fill="F2F3EE" w:color="auto" w:val="clear"/>
            <w:tcMar>
              <w:top w:type="dxa" w:w="20"/>
              <w:left w:type="dxa" w:w="160"/>
              <w:bottom w:type="dxa" w:w="150"/>
              <w:right w:type="dxa" w:w="160"/>
            </w:tcMar>
            <w:vAlign w:val="top"/>
          </w:tcPr>
          <w:p>
            <w:pPr>
              <w:spacing w:after="0" w:before="0" w:line="224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323232"/>
                <w:sz w:val="18"/>
                <w:szCs w:val="18"/>
              </w:rPr>
              <w:t xml:space="preserve">Workday deployments</w:t>
            </w:r>
          </w:p>
        </w:tc>
        <w:tc>
          <w:tcPr>
            <w:tcW w:type="dxa" w:w="2551"/>
            <w:tcBorders>
              <w:top w:val="single" w:color="FFFFFF" w:sz="4"/>
              <w:left w:val="single" w:color="FFFFFF" w:sz="8"/>
              <w:bottom w:val="single" w:color="F2F3EE" w:sz="4"/>
              <w:right w:val="single" w:color="F2F3EE" w:sz="4"/>
            </w:tcBorders>
            <w:shd w:fill="F2F3EE" w:color="auto" w:val="clear"/>
            <w:tcMar>
              <w:top w:type="dxa" w:w="20"/>
              <w:left w:type="dxa" w:w="160"/>
              <w:bottom w:type="dxa" w:w="150"/>
              <w:right w:type="dxa" w:w="160"/>
            </w:tcMar>
            <w:vAlign w:val="top"/>
          </w:tcPr>
          <w:p>
            <w:pPr>
              <w:spacing w:after="0" w:before="0" w:line="224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323232"/>
                <w:sz w:val="18"/>
                <w:szCs w:val="18"/>
              </w:rPr>
              <w:t xml:space="preserve">Client retention</w:t>
            </w:r>
          </w:p>
        </w:tc>
        <w:tc>
          <w:tcPr>
            <w:tcW w:type="dxa" w:w="2553"/>
            <w:tcBorders>
              <w:top w:val="single" w:color="FFFFFF" w:sz="4"/>
              <w:left w:val="single" w:color="FFFFFF" w:sz="8"/>
              <w:bottom w:val="single" w:color="F2F3EE" w:sz="4"/>
              <w:right w:val="single" w:color="F2F3EE" w:sz="4"/>
            </w:tcBorders>
            <w:shd w:fill="F2F3EE" w:color="auto" w:val="clear"/>
            <w:tcMar>
              <w:top w:type="dxa" w:w="20"/>
              <w:left w:type="dxa" w:w="160"/>
              <w:bottom w:type="dxa" w:w="150"/>
              <w:right w:type="dxa" w:w="160"/>
            </w:tcMar>
            <w:vAlign w:val="top"/>
          </w:tcPr>
          <w:p>
            <w:pPr>
              <w:spacing w:after="0" w:before="0" w:line="224" w:lineRule="auto"/>
              <w:jc w:val="left"/>
            </w:pPr>
            <w:r>
              <w:rPr>
                <w:rFonts w:ascii="Inter" w:cs="Inter" w:eastAsia="Inter" w:hAnsi="Inter"/>
                <w:b/>
                <w:bCs/>
                <w:caps w:val="false"/>
                <w:color w:val="323232"/>
                <w:sz w:val="18"/>
                <w:szCs w:val="18"/>
              </w:rPr>
              <w:t xml:space="preserve">Founded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9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11111" w:sz="12" w:space="6"/>
      </w:pBdr>
      <w:tabs>
        <w:tab w:val="center" w:pos="5103"/>
        <w:tab w:val="right" w:pos="10206"/>
      </w:tabs>
      <w:spacing w:after="0" w:before="0" w:line="240"/>
    </w:pPr>
    <w:r>
      <w:rPr>
        <w:rFonts w:ascii="Inter" w:cs="Inter" w:eastAsia="Inter" w:hAnsi="Inter"/>
        <w:b/>
        <w:bCs/>
        <w:color w:val="323232"/>
        <w:sz w:val="17"/>
        <w:szCs w:val="17"/>
      </w:rPr>
      <w:t xml:space="preserve">mivada.com  ·  hello@mivada.com</w:t>
    </w:r>
    <w:r>
      <w:rPr>
        <w:rFonts w:ascii="Inter" w:cs="Inter" w:eastAsia="Inter" w:hAnsi="Inter"/>
        <w:color w:val="323232"/>
        <w:sz w:val="17"/>
        <w:szCs w:val="17"/>
      </w:rPr>
      <w:t xml:space="preserve">	Sydney &amp; Melbourne · Onshore AU &amp; India	</w:t>
    </w:r>
    <w:r>
      <w:rPr>
        <w:rFonts w:ascii="Inter" w:cs="Inter" w:eastAsia="Inter" w:hAnsi="Inter"/>
        <w:color w:val="AEAEAE"/>
        <w:sz w:val="17"/>
        <w:szCs w:val="17"/>
      </w:rPr>
      <w:t xml:space="preserve">Figures illustrative.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EA493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Inter" w:cs="Inter" w:eastAsia="Inter" w:hAnsi="Inter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Inter" w:cs="Inter" w:eastAsia="Inter" w:hAnsi="Inter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e17f450f81d21f24c0bf5845e51b34d8a1b280.png"/><Relationship Id="rId10" Type="http://schemas.openxmlformats.org/officeDocument/2006/relationships/image" Target="media/24dfb9a56b2e228f78d74a3eea4a2de14fb002e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Mivada — Capability Statement 2026</dc:title>
  <dc:creator>Mivada</dc:creator>
  <dc:description>Momentum concept capability statement</dc:description>
  <cp:lastModifiedBy>Un-named</cp:lastModifiedBy>
  <cp:revision>1</cp:revision>
  <dcterms:created xsi:type="dcterms:W3CDTF">2026-06-05T22:16:33.951Z</dcterms:created>
  <dcterms:modified xsi:type="dcterms:W3CDTF">2026-06-05T22:16:33.952Z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