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sz w:val="30"/>
          <w:szCs w:val="30"/>
        </w:rPr>
        <w:t xml:space="preserve">GASTRA — Matriz de Rastreabilidade de Requisitos</w:t>
      </w:r>
    </w:p>
    <w:p>
      <w:pPr>
        <w:spacing w:after="160"/>
      </w:pPr>
      <w:r>
        <w:rPr>
          <w:i/>
          <w:iCs/>
          <w:color w:val="555555"/>
        </w:rPr>
        <w:t xml:space="preserve">Módulo de comandas (adicional) e blocos analíticos — documento de trabalho</w:t>
      </w:r>
    </w:p>
    <w:p>
      <w:pPr>
        <w:spacing w:after="160"/>
      </w:pPr>
      <w:r>
        <w:t xml:space="preserve">TG — FATEC Araraquara | Autores: Daniel (Danih) e Pedro | Orientador: Prof. Me. Leonardo José de Lima Ferrucci</w:t>
      </w:r>
    </w:p>
    <w:p>
      <w:pPr>
        <w:spacing w:after="160"/>
      </w:pPr>
      <w:r>
        <w:rPr>
          <w:i/>
          <w:iCs/>
        </w:rPr>
        <w:t xml:space="preserve">Versão: 21/08/2026 | Documento base: GASTRA — Requisitos e Regras de Negócio (mesma versão)</w:t>
      </w:r>
    </w:p>
    <w:p>
      <w:pPr>
        <w:pStyle w:val="Heading1"/>
        <w:spacing w:after="160" w:before="320"/>
      </w:pPr>
      <w:r>
        <w:t xml:space="preserve">1. O que mudou nesta versão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Escopo do módulo de comandas validado com o orientador em 21/08/2026 — deixa de ser "pendente de validação" e passa a "Validado como adicional" (não é foco do TG).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Cardápio digital (RF05) e comanda em tempo real (RF13, novo) permanecem como extras — validados, porém condicionados a sobrar tempo, não como compromisso de entrega.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Integração com a cozinha passa a existir formalmente como item excluído do TG (feature pós-defesa), não mais como algo nem cogitado.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RN03 recebe uma proposta de resolução (seção 3 do Requisitos_RN.docx), com status próprio — deixa de ser "Em aberto" e passa a "Decisão interna proposta".</w:t>
      </w:r>
    </w:p>
    <w:p>
      <w:pPr>
        <w:pStyle w:val="Heading1"/>
        <w:spacing w:after="160" w:before="320"/>
      </w:pPr>
      <w:r>
        <w:t xml:space="preserve">2. Legenda — Status de validação (atualizada)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Validado (escopo original) — consta no projeto de pesquisa formal (Gastra.pdf); não depende de nova aprovação.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Validado como adicional (não é foco) — aprovado pelo orientador em 21/08/2026; faz parte do TG, mas não é o centro da entrega — o foco continua nos 4 blocos analíticos.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Validado como extra opcional — aprovado, mas condicionado a sobrar tempo; não é compromisso de entrega do TG.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Decisão interna proposta — proposta pela dupla com base em evidência (entrevista/questionário), ainda sem validação final do orientador.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Decisão interna (não depende de escopo) — decisão de design/modelagem que não altera o escopo perante o orientador (ex.: LGPD, RBAC).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Fora do escopo do TG — excluído explicitamente; não é pendência, é decisão de não incluir (ex.: módulo de cozinha, feature pós-defesa).</w:t>
      </w:r>
    </w:p>
    <w:p>
      <w:pPr>
        <w:pStyle w:val="Heading1"/>
        <w:spacing w:after="160" w:before="320"/>
      </w:pPr>
      <w:r>
        <w:t xml:space="preserve">3. Matriz de rastreabilidade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000"/>
        <w:gridCol w:w="2760"/>
        <w:gridCol w:w="1900"/>
      </w:tblGrid>
      <w:tr>
        <w:trPr>
          <w:tblHeader/>
        </w:trPr>
        <w:tc>
          <w:tcPr>
            <w:tcW w:type="dxa" w:w="700"/>
            <w:shd w:fill="2F5233" w:val="clear"/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ID</w:t>
            </w:r>
          </w:p>
        </w:tc>
        <w:tc>
          <w:tcPr>
            <w:tcW w:type="dxa" w:w="4000"/>
            <w:shd w:fill="2F5233" w:val="clear"/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Descrição resumida</w:t>
            </w:r>
          </w:p>
        </w:tc>
        <w:tc>
          <w:tcPr>
            <w:tcW w:type="dxa" w:w="2760"/>
            <w:shd w:fill="2F5233" w:val="clear"/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Origem / Fonte</w:t>
            </w:r>
          </w:p>
        </w:tc>
        <w:tc>
          <w:tcPr>
            <w:tcW w:type="dxa" w:w="1900"/>
            <w:shd w:fill="2F5233" w:val="clear"/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Status de validação</w:t>
            </w:r>
          </w:p>
        </w:tc>
      </w:tr>
      <w:tr>
        <w:tc>
          <w:tcPr>
            <w:tcW w:type="dxa" w:w="700"/>
          </w:tcPr>
          <w:p>
            <w:r>
              <w:rPr>
                <w:sz w:val="16"/>
                <w:szCs w:val="16"/>
              </w:rPr>
              <w:t xml:space="preserve">RF01</w:t>
            </w:r>
          </w:p>
        </w:tc>
        <w:tc>
          <w:tcPr>
            <w:tcW w:type="dxa" w:w="4000"/>
          </w:tcPr>
          <w:p>
            <w:r>
              <w:rPr>
                <w:sz w:val="16"/>
                <w:szCs w:val="16"/>
              </w:rPr>
              <w:t xml:space="preserve">Garçom abre comanda vinculada a uma mesa.</w:t>
            </w:r>
          </w:p>
        </w:tc>
        <w:tc>
          <w:tcPr>
            <w:tcW w:type="dxa" w:w="2760"/>
          </w:tcPr>
          <w:p>
            <w:r>
              <w:rPr>
                <w:sz w:val="16"/>
                <w:szCs w:val="16"/>
              </w:rPr>
              <w:t xml:space="preserve">Núcleo comandas (13/08/2026)</w:t>
            </w:r>
          </w:p>
        </w:tc>
        <w:tc>
          <w:tcPr>
            <w:tcW w:type="dxa" w:w="1900"/>
          </w:tcPr>
          <w:p>
            <w:r>
              <w:rPr>
                <w:sz w:val="16"/>
                <w:szCs w:val="16"/>
              </w:rPr>
              <w:t xml:space="preserve">Validado como adicional (não é foco)</w:t>
            </w:r>
          </w:p>
        </w:tc>
      </w:tr>
      <w:tr>
        <w:tc>
          <w:tcPr>
            <w:tcW w:type="dxa" w:w="700"/>
          </w:tcPr>
          <w:p>
            <w:r>
              <w:rPr>
                <w:sz w:val="16"/>
                <w:szCs w:val="16"/>
              </w:rPr>
              <w:t xml:space="preserve">RF02</w:t>
            </w:r>
          </w:p>
        </w:tc>
        <w:tc>
          <w:tcPr>
            <w:tcW w:type="dxa" w:w="4000"/>
          </w:tcPr>
          <w:p>
            <w:r>
              <w:rPr>
                <w:sz w:val="16"/>
                <w:szCs w:val="16"/>
              </w:rPr>
              <w:t xml:space="preserve">Sistema sugere composição da mesa; Garçom confirma/ajusta.</w:t>
            </w:r>
          </w:p>
        </w:tc>
        <w:tc>
          <w:tcPr>
            <w:tcW w:type="dxa" w:w="2760"/>
          </w:tcPr>
          <w:p>
            <w:r>
              <w:rPr>
                <w:sz w:val="16"/>
                <w:szCs w:val="16"/>
              </w:rPr>
              <w:t xml:space="preserve">Decisão de design (13/08/2026) + entrevista Cocobambu</w:t>
            </w:r>
          </w:p>
        </w:tc>
        <w:tc>
          <w:tcPr>
            <w:tcW w:type="dxa" w:w="1900"/>
          </w:tcPr>
          <w:p>
            <w:r>
              <w:rPr>
                <w:sz w:val="16"/>
                <w:szCs w:val="16"/>
              </w:rPr>
              <w:t xml:space="preserve">Decisão interna (não depende de escopo)</w:t>
            </w:r>
          </w:p>
        </w:tc>
      </w:tr>
      <w:tr>
        <w:tc>
          <w:tcPr>
            <w:tcW w:type="dxa" w:w="700"/>
          </w:tcPr>
          <w:p>
            <w:r>
              <w:rPr>
                <w:sz w:val="16"/>
                <w:szCs w:val="16"/>
              </w:rPr>
              <w:t xml:space="preserve">RF03</w:t>
            </w:r>
          </w:p>
        </w:tc>
        <w:tc>
          <w:tcPr>
            <w:tcW w:type="dxa" w:w="4000"/>
          </w:tcPr>
          <w:p>
            <w:r>
              <w:rPr>
                <w:sz w:val="16"/>
                <w:szCs w:val="16"/>
              </w:rPr>
              <w:t xml:space="preserve">Garçom registra itens do pedido; itens pendentes visíveis como lembrete.</w:t>
            </w:r>
          </w:p>
        </w:tc>
        <w:tc>
          <w:tcPr>
            <w:tcW w:type="dxa" w:w="2760"/>
          </w:tcPr>
          <w:p>
            <w:r>
              <w:rPr>
                <w:sz w:val="16"/>
                <w:szCs w:val="16"/>
              </w:rPr>
              <w:t xml:space="preserve">Núcleo comandas + entrevista Cocobambu (achado espontâneo)</w:t>
            </w:r>
          </w:p>
        </w:tc>
        <w:tc>
          <w:tcPr>
            <w:tcW w:type="dxa" w:w="1900"/>
          </w:tcPr>
          <w:p>
            <w:r>
              <w:rPr>
                <w:sz w:val="16"/>
                <w:szCs w:val="16"/>
              </w:rPr>
              <w:t xml:space="preserve">Validado como adicional (não é foco)</w:t>
            </w:r>
          </w:p>
        </w:tc>
      </w:tr>
      <w:tr>
        <w:tc>
          <w:tcPr>
            <w:tcW w:type="dxa" w:w="700"/>
          </w:tcPr>
          <w:p>
            <w:r>
              <w:rPr>
                <w:sz w:val="16"/>
                <w:szCs w:val="16"/>
              </w:rPr>
              <w:t xml:space="preserve">RF04</w:t>
            </w:r>
          </w:p>
        </w:tc>
        <w:tc>
          <w:tcPr>
            <w:tcW w:type="dxa" w:w="4000"/>
          </w:tcPr>
          <w:p>
            <w:r>
              <w:rPr>
                <w:sz w:val="16"/>
                <w:szCs w:val="16"/>
              </w:rPr>
              <w:t xml:space="preserve">Garçom fecha comanda com cálculo de total + taxa.</w:t>
            </w:r>
          </w:p>
        </w:tc>
        <w:tc>
          <w:tcPr>
            <w:tcW w:type="dxa" w:w="2760"/>
          </w:tcPr>
          <w:p>
            <w:r>
              <w:rPr>
                <w:sz w:val="16"/>
                <w:szCs w:val="16"/>
              </w:rPr>
              <w:t xml:space="preserve">Núcleo comandas (13/08/2026)</w:t>
            </w:r>
          </w:p>
        </w:tc>
        <w:tc>
          <w:tcPr>
            <w:tcW w:type="dxa" w:w="1900"/>
          </w:tcPr>
          <w:p>
            <w:r>
              <w:rPr>
                <w:sz w:val="16"/>
                <w:szCs w:val="16"/>
              </w:rPr>
              <w:t xml:space="preserve">Validado como adicional (não é foco)</w:t>
            </w:r>
          </w:p>
        </w:tc>
      </w:tr>
      <w:tr>
        <w:tc>
          <w:tcPr>
            <w:tcW w:type="dxa" w:w="700"/>
          </w:tcPr>
          <w:p>
            <w:r>
              <w:rPr>
                <w:sz w:val="16"/>
                <w:szCs w:val="16"/>
              </w:rPr>
              <w:t xml:space="preserve">RF05</w:t>
            </w:r>
          </w:p>
        </w:tc>
        <w:tc>
          <w:tcPr>
            <w:tcW w:type="dxa" w:w="4000"/>
          </w:tcPr>
          <w:p>
            <w:r>
              <w:rPr>
                <w:sz w:val="16"/>
                <w:szCs w:val="16"/>
              </w:rPr>
              <w:t xml:space="preserve">Cliente consulta cardápio digital via QR/tablet, sem pedido.</w:t>
            </w:r>
          </w:p>
        </w:tc>
        <w:tc>
          <w:tcPr>
            <w:tcW w:type="dxa" w:w="2760"/>
          </w:tcPr>
          <w:p>
            <w:r>
              <w:rPr>
                <w:sz w:val="16"/>
                <w:szCs w:val="16"/>
              </w:rPr>
              <w:t xml:space="preserve">Questionário Cliente (n=12) + entrevista</w:t>
            </w:r>
          </w:p>
        </w:tc>
        <w:tc>
          <w:tcPr>
            <w:tcW w:type="dxa" w:w="1900"/>
          </w:tcPr>
          <w:p>
            <w:r>
              <w:rPr>
                <w:sz w:val="16"/>
                <w:szCs w:val="16"/>
              </w:rPr>
              <w:t xml:space="preserve">Validado como extra opcional</w:t>
            </w:r>
          </w:p>
        </w:tc>
      </w:tr>
      <w:tr>
        <w:tc>
          <w:tcPr>
            <w:tcW w:type="dxa" w:w="700"/>
          </w:tcPr>
          <w:p>
            <w:r>
              <w:rPr>
                <w:sz w:val="16"/>
                <w:szCs w:val="16"/>
              </w:rPr>
              <w:t xml:space="preserve">RF06</w:t>
            </w:r>
          </w:p>
        </w:tc>
        <w:tc>
          <w:tcPr>
            <w:tcW w:type="dxa" w:w="4000"/>
          </w:tcPr>
          <w:p>
            <w:r>
              <w:rPr>
                <w:sz w:val="16"/>
                <w:szCs w:val="16"/>
              </w:rPr>
              <w:t xml:space="preserve">Sistema calcula sugestão de alocação de garçons via PL.</w:t>
            </w:r>
          </w:p>
        </w:tc>
        <w:tc>
          <w:tcPr>
            <w:tcW w:type="dxa" w:w="2760"/>
          </w:tcPr>
          <w:p>
            <w:r>
              <w:rPr>
                <w:sz w:val="16"/>
                <w:szCs w:val="16"/>
              </w:rPr>
              <w:t xml:space="preserve">Escopo original (Gastra.pdf)</w:t>
            </w:r>
          </w:p>
        </w:tc>
        <w:tc>
          <w:tcPr>
            <w:tcW w:type="dxa" w:w="1900"/>
          </w:tcPr>
          <w:p>
            <w:r>
              <w:rPr>
                <w:sz w:val="16"/>
                <w:szCs w:val="16"/>
              </w:rPr>
              <w:t xml:space="preserve">Validado (escopo original)</w:t>
            </w:r>
          </w:p>
        </w:tc>
      </w:tr>
      <w:tr>
        <w:tc>
          <w:tcPr>
            <w:tcW w:type="dxa" w:w="700"/>
          </w:tcPr>
          <w:p>
            <w:r>
              <w:rPr>
                <w:sz w:val="16"/>
                <w:szCs w:val="16"/>
              </w:rPr>
              <w:t xml:space="preserve">RF07</w:t>
            </w:r>
          </w:p>
        </w:tc>
        <w:tc>
          <w:tcPr>
            <w:tcW w:type="dxa" w:w="4000"/>
          </w:tcPr>
          <w:p>
            <w:r>
              <w:rPr>
                <w:sz w:val="16"/>
                <w:szCs w:val="16"/>
              </w:rPr>
              <w:t xml:space="preserve">Metre visualiza e ajusta manualmente a alocação sugerida.</w:t>
            </w:r>
          </w:p>
        </w:tc>
        <w:tc>
          <w:tcPr>
            <w:tcW w:type="dxa" w:w="2760"/>
          </w:tcPr>
          <w:p>
            <w:r>
              <w:rPr>
                <w:sz w:val="16"/>
                <w:szCs w:val="16"/>
              </w:rPr>
              <w:t xml:space="preserve">Escopo original + entrevista Cocobambu</w:t>
            </w:r>
          </w:p>
        </w:tc>
        <w:tc>
          <w:tcPr>
            <w:tcW w:type="dxa" w:w="1900"/>
          </w:tcPr>
          <w:p>
            <w:r>
              <w:rPr>
                <w:sz w:val="16"/>
                <w:szCs w:val="16"/>
              </w:rPr>
              <w:t xml:space="preserve">Validado (escopo original)</w:t>
            </w:r>
          </w:p>
        </w:tc>
      </w:tr>
      <w:tr>
        <w:tc>
          <w:tcPr>
            <w:tcW w:type="dxa" w:w="700"/>
          </w:tcPr>
          <w:p>
            <w:r>
              <w:rPr>
                <w:sz w:val="16"/>
                <w:szCs w:val="16"/>
              </w:rPr>
              <w:t xml:space="preserve">RF08</w:t>
            </w:r>
          </w:p>
        </w:tc>
        <w:tc>
          <w:tcPr>
            <w:tcW w:type="dxa" w:w="4000"/>
          </w:tcPr>
          <w:p>
            <w:r>
              <w:rPr>
                <w:sz w:val="16"/>
                <w:szCs w:val="16"/>
              </w:rPr>
              <w:t xml:space="preserve">Sistema registra histórico de alocações/faturamento por praça.</w:t>
            </w:r>
          </w:p>
        </w:tc>
        <w:tc>
          <w:tcPr>
            <w:tcW w:type="dxa" w:w="2760"/>
          </w:tcPr>
          <w:p>
            <w:r>
              <w:rPr>
                <w:sz w:val="16"/>
                <w:szCs w:val="16"/>
              </w:rPr>
              <w:t xml:space="preserve">Questionário Garçom (n=2) + entrevista</w:t>
            </w:r>
          </w:p>
        </w:tc>
        <w:tc>
          <w:tcPr>
            <w:tcW w:type="dxa" w:w="1900"/>
          </w:tcPr>
          <w:p>
            <w:r>
              <w:rPr>
                <w:sz w:val="16"/>
                <w:szCs w:val="16"/>
              </w:rPr>
              <w:t xml:space="preserve">Validado (escopo original)</w:t>
            </w:r>
          </w:p>
        </w:tc>
      </w:tr>
      <w:tr>
        <w:tc>
          <w:tcPr>
            <w:tcW w:type="dxa" w:w="700"/>
          </w:tcPr>
          <w:p>
            <w:r>
              <w:rPr>
                <w:sz w:val="16"/>
                <w:szCs w:val="16"/>
              </w:rPr>
              <w:t xml:space="preserve">RF09</w:t>
            </w:r>
          </w:p>
        </w:tc>
        <w:tc>
          <w:tcPr>
            <w:tcW w:type="dxa" w:w="4000"/>
          </w:tcPr>
          <w:p>
            <w:r>
              <w:rPr>
                <w:sz w:val="16"/>
                <w:szCs w:val="16"/>
              </w:rPr>
              <w:t xml:space="preserve">Sistema sugere combinações de pratos ao Garçom.</w:t>
            </w:r>
          </w:p>
        </w:tc>
        <w:tc>
          <w:tcPr>
            <w:tcW w:type="dxa" w:w="2760"/>
          </w:tcPr>
          <w:p>
            <w:r>
              <w:rPr>
                <w:sz w:val="16"/>
                <w:szCs w:val="16"/>
              </w:rPr>
              <w:t xml:space="preserve">Escopo original (Gastra.pdf)</w:t>
            </w:r>
          </w:p>
        </w:tc>
        <w:tc>
          <w:tcPr>
            <w:tcW w:type="dxa" w:w="1900"/>
          </w:tcPr>
          <w:p>
            <w:r>
              <w:rPr>
                <w:sz w:val="16"/>
                <w:szCs w:val="16"/>
              </w:rPr>
              <w:t xml:space="preserve">Validado (escopo original)</w:t>
            </w:r>
          </w:p>
        </w:tc>
      </w:tr>
      <w:tr>
        <w:tc>
          <w:tcPr>
            <w:tcW w:type="dxa" w:w="700"/>
          </w:tcPr>
          <w:p>
            <w:r>
              <w:rPr>
                <w:sz w:val="16"/>
                <w:szCs w:val="16"/>
              </w:rPr>
              <w:t xml:space="preserve">RF10</w:t>
            </w:r>
          </w:p>
        </w:tc>
        <w:tc>
          <w:tcPr>
            <w:tcW w:type="dxa" w:w="4000"/>
          </w:tcPr>
          <w:p>
            <w:r>
              <w:rPr>
                <w:sz w:val="16"/>
                <w:szCs w:val="16"/>
              </w:rPr>
              <w:t xml:space="preserve">Gerente consulta relatórios agregados de faturamento (KPIs seção 3).</w:t>
            </w:r>
          </w:p>
        </w:tc>
        <w:tc>
          <w:tcPr>
            <w:tcW w:type="dxa" w:w="2760"/>
          </w:tcPr>
          <w:p>
            <w:r>
              <w:rPr>
                <w:sz w:val="16"/>
                <w:szCs w:val="16"/>
              </w:rPr>
              <w:t xml:space="preserve">Escopo original (Gastra.pdf)</w:t>
            </w:r>
          </w:p>
        </w:tc>
        <w:tc>
          <w:tcPr>
            <w:tcW w:type="dxa" w:w="1900"/>
          </w:tcPr>
          <w:p>
            <w:r>
              <w:rPr>
                <w:sz w:val="16"/>
                <w:szCs w:val="16"/>
              </w:rPr>
              <w:t xml:space="preserve">Validado (escopo original)</w:t>
            </w:r>
          </w:p>
        </w:tc>
      </w:tr>
      <w:tr>
        <w:tc>
          <w:tcPr>
            <w:tcW w:type="dxa" w:w="700"/>
          </w:tcPr>
          <w:p>
            <w:r>
              <w:rPr>
                <w:sz w:val="16"/>
                <w:szCs w:val="16"/>
              </w:rPr>
              <w:t xml:space="preserve">RF11</w:t>
            </w:r>
          </w:p>
        </w:tc>
        <w:tc>
          <w:tcPr>
            <w:tcW w:type="dxa" w:w="4000"/>
          </w:tcPr>
          <w:p>
            <w:r>
              <w:rPr>
                <w:sz w:val="16"/>
                <w:szCs w:val="16"/>
              </w:rPr>
              <w:t xml:space="preserve">Índice composto de desempenho/ranking dos garçons (não só venda).</w:t>
            </w:r>
          </w:p>
        </w:tc>
        <w:tc>
          <w:tcPr>
            <w:tcW w:type="dxa" w:w="2760"/>
          </w:tcPr>
          <w:p>
            <w:r>
              <w:rPr>
                <w:sz w:val="16"/>
                <w:szCs w:val="16"/>
              </w:rPr>
              <w:t xml:space="preserve">Questionário Garçom (n=2) + entrevista</w:t>
            </w:r>
          </w:p>
        </w:tc>
        <w:tc>
          <w:tcPr>
            <w:tcW w:type="dxa" w:w="1900"/>
          </w:tcPr>
          <w:p>
            <w:r>
              <w:rPr>
                <w:sz w:val="16"/>
                <w:szCs w:val="16"/>
              </w:rPr>
              <w:t xml:space="preserve">Validado (escopo original)</w:t>
            </w:r>
          </w:p>
        </w:tc>
      </w:tr>
      <w:tr>
        <w:tc>
          <w:tcPr>
            <w:tcW w:type="dxa" w:w="700"/>
          </w:tcPr>
          <w:p>
            <w:r>
              <w:rPr>
                <w:sz w:val="16"/>
                <w:szCs w:val="16"/>
              </w:rPr>
              <w:t xml:space="preserve">RF12</w:t>
            </w:r>
          </w:p>
        </w:tc>
        <w:tc>
          <w:tcPr>
            <w:tcW w:type="dxa" w:w="4000"/>
          </w:tcPr>
          <w:p>
            <w:r>
              <w:rPr>
                <w:sz w:val="16"/>
                <w:szCs w:val="16"/>
              </w:rPr>
              <w:t xml:space="preserve">Cliente solicita exclusão do próprio histórico de pedidos.</w:t>
            </w:r>
          </w:p>
        </w:tc>
        <w:tc>
          <w:tcPr>
            <w:tcW w:type="dxa" w:w="2760"/>
          </w:tcPr>
          <w:p>
            <w:r>
              <w:rPr>
                <w:sz w:val="16"/>
                <w:szCs w:val="16"/>
              </w:rPr>
              <w:t xml:space="preserve">Questionário Cliente (n=12) — LGPD, Art. 6º</w:t>
            </w:r>
          </w:p>
        </w:tc>
        <w:tc>
          <w:tcPr>
            <w:tcW w:type="dxa" w:w="1900"/>
          </w:tcPr>
          <w:p>
            <w:r>
              <w:rPr>
                <w:sz w:val="16"/>
                <w:szCs w:val="16"/>
              </w:rPr>
              <w:t xml:space="preserve">Validado (escopo original)</w:t>
            </w:r>
          </w:p>
        </w:tc>
      </w:tr>
      <w:tr>
        <w:tc>
          <w:tcPr>
            <w:tcW w:type="dxa" w:w="700"/>
          </w:tcPr>
          <w:p>
            <w:r>
              <w:rPr>
                <w:sz w:val="16"/>
                <w:szCs w:val="16"/>
              </w:rPr>
              <w:t xml:space="preserve">RF13</w:t>
            </w:r>
          </w:p>
        </w:tc>
        <w:tc>
          <w:tcPr>
            <w:tcW w:type="dxa" w:w="4000"/>
          </w:tcPr>
          <w:p>
            <w:r>
              <w:rPr>
                <w:sz w:val="16"/>
                <w:szCs w:val="16"/>
              </w:rPr>
              <w:t xml:space="preserve">Cliente consulta a comanda em tempo real (itens + valor parcial).</w:t>
            </w:r>
          </w:p>
        </w:tc>
        <w:tc>
          <w:tcPr>
            <w:tcW w:type="dxa" w:w="2760"/>
          </w:tcPr>
          <w:p>
            <w:r>
              <w:rPr>
                <w:sz w:val="16"/>
                <w:szCs w:val="16"/>
              </w:rPr>
              <w:t xml:space="preserve">Entrevista Cocobambu (achado novo, 21/08/2026)</w:t>
            </w:r>
          </w:p>
        </w:tc>
        <w:tc>
          <w:tcPr>
            <w:tcW w:type="dxa" w:w="1900"/>
          </w:tcPr>
          <w:p>
            <w:r>
              <w:rPr>
                <w:sz w:val="16"/>
                <w:szCs w:val="16"/>
              </w:rPr>
              <w:t xml:space="preserve">Validado como extra opcional</w:t>
            </w:r>
          </w:p>
        </w:tc>
      </w:tr>
      <w:tr>
        <w:tc>
          <w:tcPr>
            <w:tcW w:type="dxa" w:w="700"/>
          </w:tcPr>
          <w:p>
            <w:r>
              <w:rPr>
                <w:sz w:val="16"/>
                <w:szCs w:val="16"/>
              </w:rPr>
              <w:t xml:space="preserve">RNF01</w:t>
            </w:r>
          </w:p>
        </w:tc>
        <w:tc>
          <w:tcPr>
            <w:tcW w:type="dxa" w:w="4000"/>
          </w:tcPr>
          <w:p>
            <w:r>
              <w:rPr>
                <w:sz w:val="16"/>
                <w:szCs w:val="16"/>
              </w:rPr>
              <w:t xml:space="preserve">Registro de pedido refletido em, no máx., X segundos.</w:t>
            </w:r>
          </w:p>
        </w:tc>
        <w:tc>
          <w:tcPr>
            <w:tcW w:type="dxa" w:w="2760"/>
          </w:tcPr>
          <w:p>
            <w:r>
              <w:rPr>
                <w:sz w:val="16"/>
                <w:szCs w:val="16"/>
              </w:rPr>
              <w:t xml:space="preserve">Questionário Cliente + entrevista (travamentos do POS)</w:t>
            </w:r>
          </w:p>
        </w:tc>
        <w:tc>
          <w:tcPr>
            <w:tcW w:type="dxa" w:w="1900"/>
          </w:tcPr>
          <w:p>
            <w:r>
              <w:rPr>
                <w:sz w:val="16"/>
                <w:szCs w:val="16"/>
              </w:rPr>
              <w:t xml:space="preserve">Validado como adicional (não é foco)</w:t>
            </w:r>
          </w:p>
        </w:tc>
      </w:tr>
      <w:tr>
        <w:tc>
          <w:tcPr>
            <w:tcW w:type="dxa" w:w="700"/>
          </w:tcPr>
          <w:p>
            <w:r>
              <w:rPr>
                <w:sz w:val="16"/>
                <w:szCs w:val="16"/>
              </w:rPr>
              <w:t xml:space="preserve">RNF02</w:t>
            </w:r>
          </w:p>
        </w:tc>
        <w:tc>
          <w:tcPr>
            <w:tcW w:type="dxa" w:w="4000"/>
          </w:tcPr>
          <w:p>
            <w:r>
              <w:rPr>
                <w:sz w:val="16"/>
                <w:szCs w:val="16"/>
              </w:rPr>
              <w:t xml:space="preserve">Abrir mesa + registrar pedido em, no máx., N toques.</w:t>
            </w:r>
          </w:p>
        </w:tc>
        <w:tc>
          <w:tcPr>
            <w:tcW w:type="dxa" w:w="2760"/>
          </w:tcPr>
          <w:p>
            <w:r>
              <w:rPr>
                <w:sz w:val="16"/>
                <w:szCs w:val="16"/>
              </w:rPr>
              <w:t xml:space="preserve">Questionário Cliente (n=12)</w:t>
            </w:r>
          </w:p>
        </w:tc>
        <w:tc>
          <w:tcPr>
            <w:tcW w:type="dxa" w:w="1900"/>
          </w:tcPr>
          <w:p>
            <w:r>
              <w:rPr>
                <w:sz w:val="16"/>
                <w:szCs w:val="16"/>
              </w:rPr>
              <w:t xml:space="preserve">Validado como adicional (não é foco)</w:t>
            </w:r>
          </w:p>
        </w:tc>
      </w:tr>
      <w:tr>
        <w:tc>
          <w:tcPr>
            <w:tcW w:type="dxa" w:w="700"/>
          </w:tcPr>
          <w:p>
            <w:r>
              <w:rPr>
                <w:sz w:val="16"/>
                <w:szCs w:val="16"/>
              </w:rPr>
              <w:t xml:space="preserve">RNF03</w:t>
            </w:r>
          </w:p>
        </w:tc>
        <w:tc>
          <w:tcPr>
            <w:tcW w:type="dxa" w:w="4000"/>
          </w:tcPr>
          <w:p>
            <w:r>
              <w:rPr>
                <w:sz w:val="16"/>
                <w:szCs w:val="16"/>
              </w:rPr>
              <w:t xml:space="preserve">Dados pessoais armazenados com minimização e acesso restrito.</w:t>
            </w:r>
          </w:p>
        </w:tc>
        <w:tc>
          <w:tcPr>
            <w:tcW w:type="dxa" w:w="2760"/>
          </w:tcPr>
          <w:p>
            <w:r>
              <w:rPr>
                <w:sz w:val="16"/>
                <w:szCs w:val="16"/>
              </w:rPr>
              <w:t xml:space="preserve">Decisão de design — LGPD (13/08/2026)</w:t>
            </w:r>
          </w:p>
        </w:tc>
        <w:tc>
          <w:tcPr>
            <w:tcW w:type="dxa" w:w="1900"/>
          </w:tcPr>
          <w:p>
            <w:r>
              <w:rPr>
                <w:sz w:val="16"/>
                <w:szCs w:val="16"/>
              </w:rPr>
              <w:t xml:space="preserve">Decisão interna (não depende de escopo)</w:t>
            </w:r>
          </w:p>
        </w:tc>
      </w:tr>
      <w:tr>
        <w:tc>
          <w:tcPr>
            <w:tcW w:type="dxa" w:w="700"/>
          </w:tcPr>
          <w:p>
            <w:r>
              <w:rPr>
                <w:sz w:val="16"/>
                <w:szCs w:val="16"/>
              </w:rPr>
              <w:t xml:space="preserve">RNF04</w:t>
            </w:r>
          </w:p>
        </w:tc>
        <w:tc>
          <w:tcPr>
            <w:tcW w:type="dxa" w:w="4000"/>
          </w:tcPr>
          <w:p>
            <w:r>
              <w:rPr>
                <w:sz w:val="16"/>
                <w:szCs w:val="16"/>
              </w:rPr>
              <w:t xml:space="preserve">Permissões de leitura/escrita distintas por papel (RBAC).</w:t>
            </w:r>
          </w:p>
        </w:tc>
        <w:tc>
          <w:tcPr>
            <w:tcW w:type="dxa" w:w="2760"/>
          </w:tcPr>
          <w:p>
            <w:r>
              <w:rPr>
                <w:sz w:val="16"/>
                <w:szCs w:val="16"/>
              </w:rPr>
              <w:t xml:space="preserve">Modelagem RBAC front-of-house (17/08/2026)</w:t>
            </w:r>
          </w:p>
        </w:tc>
        <w:tc>
          <w:tcPr>
            <w:tcW w:type="dxa" w:w="1900"/>
          </w:tcPr>
          <w:p>
            <w:r>
              <w:rPr>
                <w:sz w:val="16"/>
                <w:szCs w:val="16"/>
              </w:rPr>
              <w:t xml:space="preserve">Decisão interna (não depende de escopo)</w:t>
            </w:r>
          </w:p>
        </w:tc>
      </w:tr>
      <w:tr>
        <w:tc>
          <w:tcPr>
            <w:tcW w:type="dxa" w:w="700"/>
          </w:tcPr>
          <w:p>
            <w:r>
              <w:rPr>
                <w:sz w:val="16"/>
                <w:szCs w:val="16"/>
              </w:rPr>
              <w:t xml:space="preserve">RNF05</w:t>
            </w:r>
          </w:p>
        </w:tc>
        <w:tc>
          <w:tcPr>
            <w:tcW w:type="dxa" w:w="4000"/>
          </w:tcPr>
          <w:p>
            <w:r>
              <w:rPr>
                <w:sz w:val="16"/>
                <w:szCs w:val="16"/>
              </w:rPr>
              <w:t xml:space="preserve">Núcleo do módulo de comanda disponível em todo horário de funcionamento.</w:t>
            </w:r>
          </w:p>
        </w:tc>
        <w:tc>
          <w:tcPr>
            <w:tcW w:type="dxa" w:w="2760"/>
          </w:tcPr>
          <w:p>
            <w:r>
              <w:rPr>
                <w:sz w:val="16"/>
                <w:szCs w:val="16"/>
              </w:rPr>
              <w:t xml:space="preserve">Decisão de escopo — comandas como fundação (13/08/2026)</w:t>
            </w:r>
          </w:p>
        </w:tc>
        <w:tc>
          <w:tcPr>
            <w:tcW w:type="dxa" w:w="1900"/>
          </w:tcPr>
          <w:p>
            <w:r>
              <w:rPr>
                <w:sz w:val="16"/>
                <w:szCs w:val="16"/>
              </w:rPr>
              <w:t xml:space="preserve">Validado como adicional (não é foco)</w:t>
            </w:r>
          </w:p>
        </w:tc>
      </w:tr>
      <w:tr>
        <w:tc>
          <w:tcPr>
            <w:tcW w:type="dxa" w:w="700"/>
          </w:tcPr>
          <w:p>
            <w:r>
              <w:rPr>
                <w:sz w:val="16"/>
                <w:szCs w:val="16"/>
              </w:rPr>
              <w:t xml:space="preserve">RN01</w:t>
            </w:r>
          </w:p>
        </w:tc>
        <w:tc>
          <w:tcPr>
            <w:tcW w:type="dxa" w:w="4000"/>
          </w:tcPr>
          <w:p>
            <w:r>
              <w:rPr>
                <w:sz w:val="16"/>
                <w:szCs w:val="16"/>
              </w:rPr>
              <w:t xml:space="preserve">Regras de classificação da composição da mesa.</w:t>
            </w:r>
          </w:p>
        </w:tc>
        <w:tc>
          <w:tcPr>
            <w:tcW w:type="dxa" w:w="2760"/>
          </w:tcPr>
          <w:p>
            <w:r>
              <w:rPr>
                <w:sz w:val="16"/>
                <w:szCs w:val="16"/>
              </w:rPr>
              <w:t xml:space="preserve">Decisão de design (13/08/2026) + entrevista</w:t>
            </w:r>
          </w:p>
        </w:tc>
        <w:tc>
          <w:tcPr>
            <w:tcW w:type="dxa" w:w="1900"/>
          </w:tcPr>
          <w:p>
            <w:r>
              <w:rPr>
                <w:sz w:val="16"/>
                <w:szCs w:val="16"/>
              </w:rPr>
              <w:t xml:space="preserve">Decisão interna (não depende de escopo)</w:t>
            </w:r>
          </w:p>
        </w:tc>
      </w:tr>
      <w:tr>
        <w:tc>
          <w:tcPr>
            <w:tcW w:type="dxa" w:w="700"/>
          </w:tcPr>
          <w:p>
            <w:r>
              <w:rPr>
                <w:sz w:val="16"/>
                <w:szCs w:val="16"/>
              </w:rPr>
              <w:t xml:space="preserve">RN02</w:t>
            </w:r>
          </w:p>
        </w:tc>
        <w:tc>
          <w:tcPr>
            <w:tcW w:type="dxa" w:w="4000"/>
          </w:tcPr>
          <w:p>
            <w:r>
              <w:rPr>
                <w:sz w:val="16"/>
                <w:szCs w:val="16"/>
              </w:rPr>
              <w:t xml:space="preserve">Comanda só fecha com itens entregues/cancelamento justificado; pendências visíveis.</w:t>
            </w:r>
          </w:p>
        </w:tc>
        <w:tc>
          <w:tcPr>
            <w:tcW w:type="dxa" w:w="2760"/>
          </w:tcPr>
          <w:p>
            <w:r>
              <w:rPr>
                <w:sz w:val="16"/>
                <w:szCs w:val="16"/>
              </w:rPr>
              <w:t xml:space="preserve">Definição da dupla + entrevista Cocobambu</w:t>
            </w:r>
          </w:p>
        </w:tc>
        <w:tc>
          <w:tcPr>
            <w:tcW w:type="dxa" w:w="1900"/>
          </w:tcPr>
          <w:p>
            <w:r>
              <w:rPr>
                <w:sz w:val="16"/>
                <w:szCs w:val="16"/>
              </w:rPr>
              <w:t xml:space="preserve">Decisão interna (não depende de escopo)</w:t>
            </w:r>
          </w:p>
        </w:tc>
      </w:tr>
      <w:tr>
        <w:tc>
          <w:tcPr>
            <w:tcW w:type="dxa" w:w="700"/>
          </w:tcPr>
          <w:p>
            <w:r>
              <w:rPr>
                <w:sz w:val="16"/>
                <w:szCs w:val="16"/>
              </w:rPr>
              <w:t xml:space="preserve">RN03</w:t>
            </w:r>
          </w:p>
        </w:tc>
        <w:tc>
          <w:tcPr>
            <w:tcW w:type="dxa" w:w="4000"/>
          </w:tcPr>
          <w:p>
            <w:r>
              <w:rPr>
                <w:sz w:val="16"/>
                <w:szCs w:val="16"/>
              </w:rPr>
              <w:t xml:space="preserve">Alocação equilibra faturamento acumulado por garçom, ponderado por praça.</w:t>
            </w:r>
          </w:p>
        </w:tc>
        <w:tc>
          <w:tcPr>
            <w:tcW w:type="dxa" w:w="2760"/>
          </w:tcPr>
          <w:p>
            <w:r>
              <w:rPr>
                <w:sz w:val="16"/>
                <w:szCs w:val="16"/>
              </w:rPr>
              <w:t xml:space="preserve">Proposta da dupla (21/08/2026) — entrevista + questionário</w:t>
            </w:r>
          </w:p>
        </w:tc>
        <w:tc>
          <w:tcPr>
            <w:tcW w:type="dxa" w:w="1900"/>
          </w:tcPr>
          <w:p>
            <w:r>
              <w:rPr>
                <w:sz w:val="16"/>
                <w:szCs w:val="16"/>
              </w:rPr>
              <w:t xml:space="preserve">Decisão interna proposta</w:t>
            </w:r>
          </w:p>
        </w:tc>
      </w:tr>
      <w:tr>
        <w:tc>
          <w:tcPr>
            <w:tcW w:type="dxa" w:w="700"/>
          </w:tcPr>
          <w:p>
            <w:r>
              <w:rPr>
                <w:sz w:val="16"/>
                <w:szCs w:val="16"/>
              </w:rPr>
              <w:t xml:space="preserve">RN04</w:t>
            </w:r>
          </w:p>
        </w:tc>
        <w:tc>
          <w:tcPr>
            <w:tcW w:type="dxa" w:w="4000"/>
          </w:tcPr>
          <w:p>
            <w:r>
              <w:rPr>
                <w:sz w:val="16"/>
                <w:szCs w:val="16"/>
              </w:rPr>
              <w:t xml:space="preserve">Dado pessoal do cliente só acessível por Garçom/Metre na mesa ativa.</w:t>
            </w:r>
          </w:p>
        </w:tc>
        <w:tc>
          <w:tcPr>
            <w:tcW w:type="dxa" w:w="2760"/>
          </w:tcPr>
          <w:p>
            <w:r>
              <w:rPr>
                <w:sz w:val="16"/>
                <w:szCs w:val="16"/>
              </w:rPr>
              <w:t xml:space="preserve">Decisão de design — LGPD (13/08/2026)</w:t>
            </w:r>
          </w:p>
        </w:tc>
        <w:tc>
          <w:tcPr>
            <w:tcW w:type="dxa" w:w="1900"/>
          </w:tcPr>
          <w:p>
            <w:r>
              <w:rPr>
                <w:sz w:val="16"/>
                <w:szCs w:val="16"/>
              </w:rPr>
              <w:t xml:space="preserve">Decisão interna (não depende de escopo)</w:t>
            </w:r>
          </w:p>
        </w:tc>
      </w:tr>
      <w:tr>
        <w:tc>
          <w:tcPr>
            <w:tcW w:type="dxa" w:w="700"/>
          </w:tcPr>
          <w:p>
            <w:r>
              <w:rPr>
                <w:sz w:val="16"/>
                <w:szCs w:val="16"/>
              </w:rPr>
              <w:t xml:space="preserve">RN05</w:t>
            </w:r>
          </w:p>
        </w:tc>
        <w:tc>
          <w:tcPr>
            <w:tcW w:type="dxa" w:w="4000"/>
          </w:tcPr>
          <w:p>
            <w:r>
              <w:rPr>
                <w:sz w:val="16"/>
                <w:szCs w:val="16"/>
              </w:rPr>
              <w:t xml:space="preserve">Proibição de captar atributos sensíveis do cliente para segmentação.</w:t>
            </w:r>
          </w:p>
        </w:tc>
        <w:tc>
          <w:tcPr>
            <w:tcW w:type="dxa" w:w="2760"/>
          </w:tcPr>
          <w:p>
            <w:r>
              <w:rPr>
                <w:sz w:val="16"/>
                <w:szCs w:val="16"/>
              </w:rPr>
              <w:t xml:space="preserve">Decisão de design — LGPD (13/08/2026)</w:t>
            </w:r>
          </w:p>
        </w:tc>
        <w:tc>
          <w:tcPr>
            <w:tcW w:type="dxa" w:w="1900"/>
          </w:tcPr>
          <w:p>
            <w:r>
              <w:rPr>
                <w:sz w:val="16"/>
                <w:szCs w:val="16"/>
              </w:rPr>
              <w:t xml:space="preserve">Decisão interna (não depende de escopo)</w:t>
            </w:r>
          </w:p>
        </w:tc>
      </w:tr>
      <w:tr>
        <w:tc>
          <w:tcPr>
            <w:tcW w:type="dxa" w:w="700"/>
          </w:tcPr>
          <w:p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4000"/>
          </w:tcPr>
          <w:p>
            <w:r>
              <w:rPr>
                <w:sz w:val="16"/>
                <w:szCs w:val="16"/>
              </w:rPr>
              <w:t xml:space="preserve">Integração com a cozinha (acesso a pedidos, confirmação de preparo).</w:t>
            </w:r>
          </w:p>
        </w:tc>
        <w:tc>
          <w:tcPr>
            <w:tcW w:type="dxa" w:w="2760"/>
          </w:tcPr>
          <w:p>
            <w:r>
              <w:rPr>
                <w:sz w:val="16"/>
                <w:szCs w:val="16"/>
              </w:rPr>
              <w:t xml:space="preserve">Decisão da dupla (21/08/2026)</w:t>
            </w:r>
          </w:p>
        </w:tc>
        <w:tc>
          <w:tcPr>
            <w:tcW w:type="dxa" w:w="1900"/>
          </w:tcPr>
          <w:p>
            <w:r>
              <w:rPr>
                <w:sz w:val="16"/>
                <w:szCs w:val="16"/>
              </w:rPr>
              <w:t xml:space="preserve">Fora do escopo do TG — feature pós-defesa</w:t>
            </w:r>
          </w:p>
        </w:tc>
      </w:tr>
      <w:tr>
        <w:tc>
          <w:tcPr>
            <w:tcW w:type="dxa" w:w="700"/>
          </w:tcPr>
          <w:p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4000"/>
          </w:tcPr>
          <w:p>
            <w:r>
              <w:rPr>
                <w:sz w:val="16"/>
                <w:szCs w:val="16"/>
              </w:rPr>
              <w:t xml:space="preserve">Lista de pendências do garçom como feature autônoma (além do RF03).</w:t>
            </w:r>
          </w:p>
        </w:tc>
        <w:tc>
          <w:tcPr>
            <w:tcW w:type="dxa" w:w="2760"/>
          </w:tcPr>
          <w:p>
            <w:r>
              <w:rPr>
                <w:sz w:val="16"/>
                <w:szCs w:val="16"/>
              </w:rPr>
              <w:t xml:space="preserve">Entrevista Cocobambu (achado espontâneo)</w:t>
            </w:r>
          </w:p>
        </w:tc>
        <w:tc>
          <w:tcPr>
            <w:tcW w:type="dxa" w:w="1900"/>
          </w:tcPr>
          <w:p>
            <w:r>
              <w:rPr>
                <w:sz w:val="16"/>
                <w:szCs w:val="16"/>
              </w:rPr>
              <w:t xml:space="preserve">Validado como extra opcional</w:t>
            </w:r>
          </w:p>
        </w:tc>
      </w:tr>
    </w:tbl>
    <w:p>
      <w:pPr>
        <w:pStyle w:val="Heading1"/>
        <w:spacing w:after="160" w:before="320"/>
      </w:pPr>
      <w:r>
        <w:t xml:space="preserve">4. Observações</w:t>
      </w:r>
    </w:p>
    <w:p>
      <w:pPr>
        <w:spacing w:after="160"/>
      </w:pPr>
      <w:r>
        <w:t xml:space="preserve">O foco de esforço e de defesa na banca continua nos quatro blocos analíticos (RF06–RF12, RN03–RN05 e KPIs da seção 3 do Requisitos_RN.docx). Itens "Validado como adicional" são necessários para o TG funcionar de ponta a ponta, mas não devem consumir desproporcionalmente o tempo de desenvolvimento em relação aos blocos analíticos. Itens "Validado como extra opcional" só devem ser iniciados depois que o núcleo (comandas + os 4 blocos) estiver com um MVP apresentável.</w:t>
      </w:r>
    </w:p>
    <w:p>
      <w:pPr>
        <w:pBdr>
          <w:left w:val="single" w:color="999999" w:sz="12" w:space="8"/>
        </w:pBdr>
        <w:spacing w:after="200" w:before="120"/>
        <w:ind w:left="200"/>
      </w:pPr>
      <w:r>
        <w:rPr>
          <w:i/>
          <w:iCs/>
          <w:color w:val="555555"/>
        </w:rPr>
        <w:t xml:space="preserve">RN03 segue como prioridade de fechamento: a estrutura da regra foi proposta e documentada, mas os pesos exatos (quanto o histórico da praça pesa vs. o acumulado do garçom) ainda não foram testados com dado real ou simulado — não tratar como número fechado até essa calibração.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2026-08-21T18:50:59.726Z</dcterms:created>
  <dcterms:modified xsi:type="dcterms:W3CDTF">2026-08-21T18:50:59.726Z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