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GASTRA — Requisitos e Regras de Negócio</w:t>
      </w:r>
    </w:p>
    <w:p>
      <w:pPr>
        <w:spacing w:after="160"/>
      </w:pPr>
      <w:r>
        <w:rPr>
          <w:i/>
          <w:iCs/>
          <w:color w:val="555555"/>
        </w:rPr>
        <w:t xml:space="preserve">Módulo de comandas (adicional) e blocos analíticos — documento de trabalho</w:t>
      </w:r>
    </w:p>
    <w:p>
      <w:pPr>
        <w:spacing w:after="160"/>
      </w:pPr>
      <w:r>
        <w:t xml:space="preserve">TG — FATEC Araraquara | Autores: Daniel (Danih) e Pedro | Orientador: Prof. Me. Leonardo José de Lima Ferrucci</w:t>
      </w:r>
    </w:p>
    <w:p>
      <w:pPr>
        <w:spacing w:after="160"/>
      </w:pPr>
      <w:r>
        <w:rPr>
          <w:i/>
          <w:iCs/>
        </w:rPr>
        <w:t xml:space="preserve">Versão: 21/08/2026 — revisão pós-entrevista Cocobambu e validação de escopo com o orientador</w:t>
      </w:r>
    </w:p>
    <w:p>
      <w:pPr>
        <w:pStyle w:val="Heading1"/>
        <w:spacing w:after="160" w:before="320"/>
      </w:pPr>
      <w:r>
        <w:t xml:space="preserve">1. Escopo considerado neste documento</w:t>
      </w:r>
    </w:p>
    <w:p>
      <w:pPr>
        <w:spacing w:after="160"/>
      </w:pPr>
      <w:r>
        <w:t xml:space="preserve">Atualização de escopo validada com o orientador (21/08/2026): o foco do TG permanece nos quatro blocos analíticos originais do projeto de pesquisa formal (Gastra.pdf) — BI, Ciência de Dados, Programação Linear e LGPD. O módulo de comandas foi aprovado, mas como componente adicional que alimenta esses blocos com dados operacionais reais, não como entrega central do trabalho.</w:t>
      </w:r>
    </w:p>
    <w:p>
      <w:pPr>
        <w:spacing w:after="160"/>
      </w:pPr>
      <w:r>
        <w:t xml:space="preserve">Dentro do módulo de comandas, há uma subdivisão de prioridade que precisa ficar clara em qualquer leitura deste documento: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Núcleo do módulo de comandas (abrir/registrar pedido/fechar comanda) — aprovado como adicional necessário.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Extras condicionados a tempo disponível: cardápio digital para consulta (opção B) e consulta da comanda em tempo real pelo cliente; lista de pendências do garçom (achado da entrevista Cocobambu).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Fora do escopo do TG: qualquer integração com a cozinha (acesso a pedidos, confirmação de preparo). Tratada explicitamente como feature futura, pós-defesa — não entra nem como extra condicional.</w:t>
      </w:r>
    </w:p>
    <w:p>
      <w:pPr>
        <w:pBdr>
          <w:left w:val="single" w:color="999999" w:sz="12" w:space="8"/>
        </w:pBdr>
        <w:spacing w:after="200" w:before="120"/>
        <w:ind w:left="200"/>
      </w:pPr>
      <w:r>
        <w:rPr>
          <w:i/>
          <w:iCs/>
          <w:color w:val="555555"/>
        </w:rPr>
        <w:t xml:space="preserve">Esta seção substitui a versão de 17/08/2026, que tratava comandas e cardápio digital como pendentes de validação. A validação ocorreu em 21/08/2026; os extras (cardápio digital, comanda em tempo real, lista de pendências) continuam formalmente aprovados apenas como escopo condicional — não são compromisso de entrega.</w:t>
      </w:r>
    </w:p>
    <w:p>
      <w:pPr>
        <w:pStyle w:val="Heading1"/>
        <w:spacing w:after="160" w:before="320"/>
      </w:pPr>
      <w:r>
        <w:t xml:space="preserve">2. Requisitos Funcionais (RF)</w:t>
      </w:r>
    </w:p>
    <w:p>
      <w:pPr>
        <w:spacing w:after="160"/>
      </w:pPr>
      <w:r>
        <w:t xml:space="preserve">Um Requisito Funcional descreve algo que o sistema deve fazer — uma função ou comportamento observável, associado a um ator que a aciona ou que dela se beneficia.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700"/>
        <w:gridCol w:w="1560"/>
        <w:gridCol w:w="2400"/>
      </w:tblGrid>
      <w:tr>
        <w:trPr>
          <w:tblHeader/>
        </w:trPr>
        <w:tc>
          <w:tcPr>
            <w:tcW w:type="dxa" w:w="7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7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6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Ator(es)</w:t>
            </w:r>
          </w:p>
        </w:tc>
        <w:tc>
          <w:tcPr>
            <w:tcW w:type="dxa" w:w="24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Justificativa / Origem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RF01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permitir que o Garçom abra uma comanda vinculada a uma mesa específica.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Garçom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Núcleo do módulo de comandas — adicional aprovado (21/08/2026).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RF02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sugerir automaticamente a composição da mesa, permitindo ao Garçom confirmar ou ajustar.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Garçom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Decisão de design (13/08/2026); confirmado por entrevista — sem item infantil pedido, sistema não tem como inferir sozinho.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RF03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permitir ao Garçom registrar os itens do pedido associados à comanda aberta, com lista de pendências (itens ainda não entregues) visível.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Garçom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Núcleo do módulo de comandas + refinamento da entrevista Cocobambu (achado espontâneo sobre itens esquecidos, ex.: água).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RF04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permitir ao Garçom fechar a comanda, calculando o valor total com taxa de serviço.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Garçom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Núcleo do módulo de comandas — adicional aprovado.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RF05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permitir ao Cliente consultar, via QR code ou tablet, o cardápio digital com fotos, preço e flags dietéticas, sem função de pedido.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Cliente (condicional)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EXTRA — condicionado a tempo. Questionário: 83% dos clientes relatam dificuldade com flags dietéticas.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RF06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calcular uma sugestão de alocação de garçons às mesas/praças com base no algoritmo de programação linear (RN03).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Sistema / Metre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Escopo original, bloco de Programação Linear.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RF07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permitir ao Metre visualizar e ajustar manualmente a alocação sugerida antes de confirmá-la.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Metre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Mantém decisão humana final; reforçado pela entrevista ("algo que deveria continuar sendo decisão do funcionário").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RF08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registrar o histórico de alocações e faturamento por praça para uso no RN03 e em BI.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Sistema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Escopo original + entrevista: praças têm potencial de faturamento estruturalmente diferente (ex.: mesa de casal vs. mesa família).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RF09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sugerir combinações de pratos ao Garçom com base em clusterização e regras de associação, calibradas por suporte/confiança mínimos.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Garçom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Escopo original, bloco de Ciência de Dados.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RF10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exibir ao Gerente relatórios agregados de faturamento por praça e por garçom, com os KPIs definidos na seção 3.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Gerente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Escopo original, bloco de BI.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RF11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exibir um índice composto de desempenho dos garçons (não apenas venda) para ranking/gamificação.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Gerente, Garçom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Refinado pela entrevista: "podia ter outras métricas também, não só venda".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RF12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permitir ao Cliente solicitar a exclusão do seu histórico de pedidos a qualquer momento.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Direito ao esquecimento (LGPD, Art. 6º).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RF13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permitir ao Cliente consultar sua comanda em tempo real (itens já lançados e valor parcial).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Cliente (condicional)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EXTRA — condicionado a tempo. Achado da entrevista Cocobambu: reduz disputa de conta ao final do atendimento.</w:t>
            </w:r>
          </w:p>
        </w:tc>
      </w:tr>
    </w:tbl>
    <w:p>
      <w:pPr>
        <w:pStyle w:val="Heading1"/>
        <w:spacing w:after="160" w:before="320"/>
      </w:pPr>
      <w:r>
        <w:t xml:space="preserve">3. KPIs e critérios analíticos (proposta da dupla — pendente de validação final)</w:t>
      </w:r>
    </w:p>
    <w:p>
      <w:pPr>
        <w:spacing w:after="160"/>
      </w:pPr>
      <w:r>
        <w:t xml:space="preserve">Esta seção formaliza os critérios que estavam listados como pendências no documento anterior (seção 5, versão 17/08/2026). São propostas construídas a partir da entrevista com o garçom do Cocobambu e do questionário — precisam de validação entre a dupla antes de serem tratadas como fechadas, e do orientador antes de constarem como definitivas no TG.</w:t>
      </w:r>
    </w:p>
    <w:p>
      <w:pPr>
        <w:pStyle w:val="Heading2"/>
        <w:spacing w:after="120" w:before="240"/>
      </w:pPr>
      <w:r>
        <w:t xml:space="preserve">3.1 Critério de rotação/alocação de garçons (RN03)</w:t>
      </w:r>
    </w:p>
    <w:p>
      <w:pPr>
        <w:spacing w:after="160"/>
      </w:pPr>
      <w:r>
        <w:t xml:space="preserve">Proposta: equilibrar o faturamento acumulado por garçom ao longo de um período de referência (ex.: semana), ponderando a alocação pelo faturamento médio histórico de cada praça — garçons alocados repetidamente em praças de menor potencial ganham prioridade em praças de maior potencial nas rodadas seguintes, e vice-versa.</w:t>
      </w:r>
    </w:p>
    <w:p>
      <w:pPr>
        <w:spacing w:after="160"/>
      </w:pPr>
      <w:r>
        <w:t xml:space="preserve">Racional: descarta as hipóteses "minimizar tempo de espera" e "maximizar gorjeta total" por não terem aparecido como dor espontânea nem na entrevista nem no questionário; a dor relatada foi especificamente desigualdade percebida entre praças.</w:t>
      </w:r>
    </w:p>
    <w:p>
      <w:pPr>
        <w:pStyle w:val="Heading2"/>
        <w:spacing w:after="120" w:before="240"/>
      </w:pPr>
      <w:r>
        <w:t xml:space="preserve">3.2 KPIs de BI (RF10) e índice de ranking (RF11)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Faturamento total e médio por garçom, por período.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Faturamento médio histórico por praça (alimenta o RN03).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Ticket médio por mesa atendida.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Tempo médio de atendimento (abertura → fechamento da comanda).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Índice composto de desempenho: combina faturamento + nº de mesas atendidas (evita expor só a métrica de venda pura, conforme sinalizado na entrevista).</w:t>
      </w:r>
    </w:p>
    <w:p>
      <w:pPr>
        <w:pStyle w:val="Heading2"/>
        <w:spacing w:after="120" w:before="240"/>
      </w:pPr>
      <w:r>
        <w:t xml:space="preserve">3.3 Critério de recomendação de pratos (RF09)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Regras de associação: limiares mínimos de suporte e confiança — valores exatos a calibrar quando houver volume de dado real ou simulado suficiente; não é possível fechar um número sem essa 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Clusterização por padrão de consumo observável (nunca atributo sensível — decisão já fechada, RN05); número de clusters a definir experimentalmente (ex.: método do cotovelo).</w:t>
      </w:r>
    </w:p>
    <w:p>
      <w:pPr>
        <w:pBdr>
          <w:left w:val="single" w:color="999999" w:sz="12" w:space="8"/>
        </w:pBdr>
        <w:spacing w:after="200" w:before="120"/>
        <w:ind w:left="200"/>
      </w:pPr>
      <w:r>
        <w:rPr>
          <w:i/>
          <w:iCs/>
          <w:color w:val="555555"/>
        </w:rPr>
        <w:t xml:space="preserve">Nenhum valor numérico definitivo (limiar de suporte/confiança, número de clusters) pode ser fixado antes de haver dado real ou simulado suficiente para calibração — registrar isso explicitamente na metodologia do TG.</w:t>
      </w:r>
    </w:p>
    <w:p>
      <w:pPr>
        <w:pStyle w:val="Heading1"/>
        <w:spacing w:after="160" w:before="320"/>
      </w:pPr>
      <w:r>
        <w:t xml:space="preserve">4. Requisitos Não Funcionais (RNF)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700"/>
        <w:gridCol w:w="1560"/>
        <w:gridCol w:w="2400"/>
      </w:tblGrid>
      <w:tr>
        <w:trPr>
          <w:tblHeader/>
        </w:trPr>
        <w:tc>
          <w:tcPr>
            <w:tcW w:type="dxa" w:w="7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7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6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  <w:tc>
          <w:tcPr>
            <w:tcW w:type="dxa" w:w="24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Justificativa / Origem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RNF01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sistema deve refletir um novo pedido registrado na comanda em, no máximo, X segundos (valor a definir).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Desempenho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Maior incômodo relatado pelos clientes (50%); confirmado na entrevista (travamentos do sistema atual do Cocobambu).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RNF02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A interface de comanda do Garçom deve permitir abrir mesa e registrar pedido em, no máximo, N toques/passos (valor a definir).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Usabilidade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Meta testável ligada ao mesmo achado de demora.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RNF03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Dados pessoais do cliente devem ser armazenados com minimização e acesso restrito por papel.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Privacidade / LGPD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Princípio de minimização (LGPD, Art. 6º).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RNF04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Cada papel (Gerente, Coordenador, Metre, Garçom) deve ter permissões de leitura/escrita distintas conforme matriz de acesso.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Segurança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RBAC, já modelado para o front-of-house.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RNF05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 núcleo do módulo de comanda deve estar operacional durante todo o horário de funcionamento.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Disponibilidade</w:t>
            </w:r>
          </w:p>
        </w:tc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Alimenta os blocos analíticos — indisponibilidade compromete toda a operação.</w:t>
            </w:r>
          </w:p>
        </w:tc>
      </w:tr>
    </w:tbl>
    <w:p>
      <w:pPr>
        <w:pStyle w:val="Heading1"/>
        <w:spacing w:after="160" w:before="320"/>
      </w:pPr>
      <w:r>
        <w:t xml:space="preserve">5. Regras de Negócio (RN)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00"/>
        <w:gridCol w:w="3160"/>
      </w:tblGrid>
      <w:tr>
        <w:trPr>
          <w:tblHeader/>
        </w:trPr>
        <w:tc>
          <w:tcPr>
            <w:tcW w:type="dxa" w:w="9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3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16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Racional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RN01</w:t>
            </w:r>
          </w:p>
        </w:tc>
        <w:tc>
          <w:tcPr>
            <w:tcW w:type="dxa" w:w="5300"/>
          </w:tcPr>
          <w:p>
            <w:r>
              <w:rPr>
                <w:sz w:val="18"/>
                <w:szCs w:val="18"/>
              </w:rPr>
              <w:t xml:space="preserve">Composição da mesa: Solo (1) / Casal (2) / Grupo pequeno (3–4, sem item infantil) / Família (3+, com item infantil) / Grupo grande (5+).</w:t>
            </w:r>
          </w:p>
        </w:tc>
        <w:tc>
          <w:tcPr>
            <w:tcW w:type="dxa" w:w="3160"/>
          </w:tcPr>
          <w:p>
            <w:r>
              <w:rPr>
                <w:sz w:val="18"/>
                <w:szCs w:val="18"/>
              </w:rPr>
              <w:t xml:space="preserve">Fechado em 13/08/2026; confirmado pela entrevista — sem item infantil pedido, não há sinal para inferir sozinho.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RN02</w:t>
            </w:r>
          </w:p>
        </w:tc>
        <w:tc>
          <w:tcPr>
            <w:tcW w:type="dxa" w:w="5300"/>
          </w:tcPr>
          <w:p>
            <w:r>
              <w:rPr>
                <w:sz w:val="18"/>
                <w:szCs w:val="18"/>
              </w:rPr>
              <w:t xml:space="preserve">Uma comanda só pode ser fechada se todos os itens estiverem "entregue" ou com cancelamento justificado; itens pendentes ficam visíveis como lembrete ativo (não só trava de fechamento).</w:t>
            </w:r>
          </w:p>
        </w:tc>
        <w:tc>
          <w:tcPr>
            <w:tcW w:type="dxa" w:w="3160"/>
          </w:tcPr>
          <w:p>
            <w:r>
              <w:rPr>
                <w:sz w:val="18"/>
                <w:szCs w:val="18"/>
              </w:rPr>
              <w:t xml:space="preserve">Refinado pela entrevista — evita itens esquecidos (ex.: água) até o momento do fechamento.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RN03</w:t>
            </w:r>
          </w:p>
        </w:tc>
        <w:tc>
          <w:tcPr>
            <w:tcW w:type="dxa" w:w="5300"/>
          </w:tcPr>
          <w:p>
            <w:r>
              <w:rPr>
                <w:sz w:val="18"/>
                <w:szCs w:val="18"/>
              </w:rPr>
              <w:t xml:space="preserve">A alocação de garçons deve equilibrar o faturamento acumulado por garçom, ponderado pelo faturamento médio histórico da praça (ver seção 3.1).</w:t>
            </w:r>
          </w:p>
        </w:tc>
        <w:tc>
          <w:tcPr>
            <w:tcW w:type="dxa" w:w="3160"/>
          </w:tcPr>
          <w:p>
            <w:r>
              <w:rPr>
                <w:sz w:val="18"/>
                <w:szCs w:val="18"/>
              </w:rPr>
              <w:t xml:space="preserve">Proposta da dupla (21/08/2026), baseada em entrevista + questionário — pendente de validação final com o orientador.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RN04</w:t>
            </w:r>
          </w:p>
        </w:tc>
        <w:tc>
          <w:tcPr>
            <w:tcW w:type="dxa" w:w="5300"/>
          </w:tcPr>
          <w:p>
            <w:r>
              <w:rPr>
                <w:sz w:val="18"/>
                <w:szCs w:val="18"/>
              </w:rPr>
              <w:t xml:space="preserve">Dados pessoais do cliente só acessíveis por Garçom/Metre no contexto da mesa ativa; fora disso, apenas agregado/anonimizado.</w:t>
            </w:r>
          </w:p>
        </w:tc>
        <w:tc>
          <w:tcPr>
            <w:tcW w:type="dxa" w:w="3160"/>
          </w:tcPr>
          <w:p>
            <w:r>
              <w:rPr>
                <w:sz w:val="18"/>
                <w:szCs w:val="18"/>
              </w:rPr>
              <w:t xml:space="preserve">LGPD, Art. 6º.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RN05</w:t>
            </w:r>
          </w:p>
        </w:tc>
        <w:tc>
          <w:tcPr>
            <w:tcW w:type="dxa" w:w="5300"/>
          </w:tcPr>
          <w:p>
            <w:r>
              <w:rPr>
                <w:sz w:val="18"/>
                <w:szCs w:val="18"/>
              </w:rPr>
              <w:t xml:space="preserve">O sistema não deve capturar, inferir ou armazenar atributos sensíveis do cliente para segmentação.</w:t>
            </w:r>
          </w:p>
        </w:tc>
        <w:tc>
          <w:tcPr>
            <w:tcW w:type="dxa" w:w="3160"/>
          </w:tcPr>
          <w:p>
            <w:r>
              <w:rPr>
                <w:sz w:val="18"/>
                <w:szCs w:val="18"/>
              </w:rPr>
              <w:t xml:space="preserve">Risco de viés/discriminação; dado de saúde é sensível por definição legal (LGPD, Art. 5º, II).</w:t>
            </w:r>
          </w:p>
        </w:tc>
      </w:tr>
    </w:tbl>
    <w:p>
      <w:pPr>
        <w:pStyle w:val="Heading1"/>
        <w:spacing w:after="160" w:before="320"/>
      </w:pPr>
      <w:r>
        <w:t xml:space="preserve">6. Pendências restantes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Calibração numérica de RNF01/RNF02 (valores de X segundos e N toques).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Calibração numérica dos limiares de suporte/confiança (RF09) — depende de volume de dado.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Validação final de RN03 (seção 3.1) com o orientador — a estrutura foi proposta, mas o valor exato dos pesos ainda não foi testado.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Qualificador livre vs. lista fechada para o garçom na composição da mesa — ainda não decidido.</w:t>
      </w:r>
    </w:p>
    <w:p>
      <w:pPr>
        <w:pStyle w:val="Heading1"/>
        <w:spacing w:after="160" w:before="320"/>
      </w:pPr>
      <w:r>
        <w:t xml:space="preserve">7. Próximo passo</w:t>
      </w:r>
    </w:p>
    <w:p>
      <w:pPr>
        <w:spacing w:after="160"/>
      </w:pPr>
      <w:r>
        <w:t xml:space="preserve">Atualizar a Matriz de Rastreabilidade (documento irmão) refletindo os novos status de validação, e iniciar os artefatos complementares definidos na sessão de 21/08/2026: Business Model Canvas, User Stories, prototipagem/UX-UI, arquitetura, cenários de teste e manual do usuário.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2026-08-21T18:50:19.756Z</dcterms:created>
  <dcterms:modified xsi:type="dcterms:W3CDTF">2026-08-21T18:50:19.772Z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