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GASTRA — Roteiro de Entrevista</w:t>
      </w:r>
    </w:p>
    <w:p>
      <w:pPr>
        <w:spacing w:after="200"/>
      </w:pPr>
      <w:r>
        <w:rPr>
          <w:color w:val="555555"/>
          <w:sz w:val="24"/>
          <w:szCs w:val="24"/>
        </w:rPr>
        <w:t xml:space="preserve">Garçom do Cocobambu — levantamento de requisitos qualitativo</w:t>
      </w:r>
    </w:p>
    <w:p>
      <w:pPr>
        <w:spacing w:after="160"/>
      </w:pPr>
      <w:r>
        <w:t xml:space="preserve">TG — FATEC Araraquara | Autores: Daniel (Danih) e Pedro | Orientador: Prof. Me. Leonardo José de Lima Ferrucci</w:t>
      </w:r>
    </w:p>
    <w:p>
      <w:pPr>
        <w:spacing w:after="160"/>
      </w:pPr>
      <w:r>
        <w:rPr>
          <w:i/>
          <w:iCs/>
        </w:rPr>
        <w:t xml:space="preserve">Versão: 18/08/2026 — documento de trabalho, complementar ao GASTRA_Requisitos_RN.docx e ao GASTRA_STATUS.md</w:t>
      </w:r>
    </w:p>
    <w:p>
      <w:pPr>
        <w:pStyle w:val="Heading1"/>
        <w:spacing w:after="160" w:before="320"/>
      </w:pPr>
      <w:r>
        <w:t xml:space="preserve">1. Objetivo da entrevista</w:t>
      </w:r>
    </w:p>
    <w:p>
      <w:pPr>
        <w:spacing w:after="160"/>
      </w:pPr>
      <w:r>
        <w:t xml:space="preserve">Esta entrevista é qualitativa e semiestruturada — não substitui o questionário quantitativo já aplicado aos garçons (Jotform, 24 perguntas), e sim complementa. Onde o questionário mede "o quê" e "quanto" (ex.: nota 4,0/5 para justiça na rotação de praças), a entrevista busca o "por quê" e o "como" por trás desses números, com profundidade que uma pergunta fechada não captura.</w:t>
      </w:r>
    </w:p>
    <w:p>
      <w:pPr>
        <w:spacing w:after="160"/>
      </w:pPr>
      <w:r>
        <w:t xml:space="preserve">Três usos diretos para o TG: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Validar (ou contestar) os achados preliminares da amostra pequena (n=2) do questionário — seção 6 do GASTRA_STATUS.md.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Fornecer evidência qualitativa citável para requisitos ainda pendentes de justificativa robusta, especialmente RN03 (função objetivo do algoritmo de programação linear, hoje em aberto).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Servir de defesa na banca: um achado de questionário fechado é fácil de questionar ("amostra pequena"); um relato qualitativo consistente com o achado quantitativo fortalece a narrativa.</w:t>
      </w:r>
    </w:p>
    <w:p>
      <w:pPr>
        <w:pStyle w:val="Heading1"/>
        <w:spacing w:after="160" w:before="320"/>
      </w:pPr>
      <w:r>
        <w:t xml:space="preserve">2. Diretrizes éticas e LGPD — ler antes de aplicar</w:t>
      </w:r>
    </w:p>
    <w:p>
      <w:pPr>
        <w:spacing w:after="160"/>
      </w:pPr>
      <w:r>
        <w:t xml:space="preserve">Estas diretrizes não são formalidade — protegem o entrevistado, o Cocobambu como estabelecimento e vocês como pesquisadores, e é comum a banca perguntar como a coleta foi conduzida.</w:t>
      </w:r>
    </w:p>
    <w:p>
      <w:pPr>
        <w:pStyle w:val="Heading2"/>
        <w:spacing w:after="120" w:before="260"/>
      </w:pPr>
      <w:r>
        <w:t xml:space="preserve">2.1 Consentimento informado</w:t>
      </w:r>
    </w:p>
    <w:p>
      <w:pPr>
        <w:spacing w:after="160"/>
      </w:pPr>
      <w:r>
        <w:t xml:space="preserve">Antes de iniciar, explicar verbalmente (e idealmente registrar por escrito ou áudio com autorização):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Quem são vocês, o vínculo com a FATEC e o propósito acadêmico da entrevista (TG sobre um sistema de gestão para restaurantes).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Que a participação é voluntária, pode ser interrompida a qualquer momento e nenhuma pergunta é obrigatória de responder.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Como os dados serão usados: para embasar requisitos de um sistema, citados de forma anonimizada no TG (não citar o nome do garçom em nenhuma hipótese, ver 2.2).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houver gravação: pedir autorização explícita, explicar que o áudio será usado só para transcrição e apagado depois — e ter uma opção sem gravação (só anotações) caso o entrevistado prefira.</w:t>
      </w:r>
    </w:p>
    <w:p>
      <w:pPr>
        <w:pStyle w:val="Heading2"/>
        <w:spacing w:after="120" w:before="260"/>
      </w:pPr>
      <w:r>
        <w:t xml:space="preserve">2.2 Anonimização</w:t>
      </w:r>
    </w:p>
    <w:p>
      <w:pPr>
        <w:spacing w:after="160"/>
      </w:pPr>
      <w:r>
        <w:t xml:space="preserve">No TG, referenciar sempre como "garçom entrevistado" ou codinome (ex.: "Entrevistado E1"), nunca pelo nome real. O mesmo vale para qualquer colega ou cliente que o entrevistado mencionar de forma identificável — se surgir um relato com nome de terceiro, registrar sem o nome.</w:t>
      </w:r>
    </w:p>
    <w:p>
      <w:pPr>
        <w:pStyle w:val="Heading2"/>
        <w:spacing w:after="120" w:before="260"/>
      </w:pPr>
      <w:r>
        <w:t xml:space="preserve">2.3 Escopo do que perguntar</w:t>
      </w:r>
    </w:p>
    <w:p>
      <w:pPr>
        <w:spacing w:after="160"/>
      </w:pPr>
      <w:r>
        <w:t xml:space="preserve">Nenhuma pergunta deste roteiro pede dado pessoal identificável de cliente real do Cocobambu (nome, aparência, comportamento específico e identificável). O foco é o processo e a percepção do garçom sobre o processo — não casos específicos de clientes.</w:t>
      </w:r>
    </w:p>
    <w:p>
      <w:pPr>
        <w:pStyle w:val="Heading2"/>
        <w:spacing w:after="120" w:before="260"/>
      </w:pPr>
      <w:r>
        <w:t xml:space="preserve">2.4 Pendência a validar (não decidir sozinhos)</w:t>
      </w:r>
    </w:p>
    <w:p>
      <w:pPr>
        <w:pBdr>
          <w:left w:val="single" w:color="999999" w:sz="12" w:space="8"/>
        </w:pBdr>
        <w:spacing w:after="200" w:before="120"/>
        <w:ind w:left="200"/>
      </w:pPr>
      <w:r>
        <w:rPr>
          <w:i/>
          <w:iCs/>
          <w:color w:val="555555"/>
        </w:rPr>
        <w:t xml:space="preserve">Definir com o orientador — e se fizer sentido, com o próprio Cocobambu — se o nome do estabelecimento pode ser citado no TG ou se deve ser tratado como "restaurante colaborador" anônimo. Isso não é um detalhe: interfere em como a seção de metodologia é redigida. Enquanto não decidido, tratem o nome como sensível e evitem citá-lo em versões preliminares compartilhadas fora da dupla.</w:t>
      </w:r>
    </w:p>
    <w:p>
      <w:pPr>
        <w:pStyle w:val="Heading1"/>
        <w:spacing w:after="160" w:before="320"/>
      </w:pPr>
      <w:r>
        <w:t xml:space="preserve">3. Estrutura do roteiro</w:t>
      </w:r>
    </w:p>
    <w:p>
      <w:pPr>
        <w:spacing w:after="160"/>
      </w:pPr>
      <w:r>
        <w:t xml:space="preserve">Oito blocos, ordem sugerida mas flexível — se o entrevistado entrar espontaneamente em um assunto de bloco posterior, sigam o fluxo da conversa e retomem a ordem depois. Tempo estimado: 25–40 min.</w:t>
      </w:r>
    </w:p>
    <w:p>
      <w:pPr>
        <w:pStyle w:val="Heading2"/>
        <w:spacing w:after="120" w:before="260"/>
      </w:pPr>
      <w:r>
        <w:t xml:space="preserve">Bloco 0 — Abertura e consentimento</w:t>
      </w:r>
    </w:p>
    <w:p>
      <w:pPr>
        <w:spacing w:after="160"/>
      </w:pPr>
      <w:r>
        <w:t xml:space="preserve">Aplicar o roteiro de consentimento da seção 2.1 antes de qualquer pergunta de conteúdo. Perguntar também: há quanto tempo trabalha como garçom, e há quanto tempo neste estabelecimento (contexto, não identificação).</w:t>
      </w:r>
    </w:p>
    <w:p>
      <w:pPr>
        <w:pStyle w:val="Heading2"/>
        <w:spacing w:after="120" w:before="260"/>
      </w:pPr>
      <w:r>
        <w:t xml:space="preserve">Bloco 1 — Fluxo operacional atual (abertura de mesa → pedido → fechamento)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Pergunta-guia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Conecta com</w:t>
            </w:r>
          </w:p>
        </w:tc>
        <w:tc>
          <w:tcPr>
            <w:tcW w:type="dxa" w:w="396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perguntar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Como funciona, do início ao fim, o atendimento de uma mesa aqui — desde a chegada do cliente até o fechamento da conta?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RF01–RF04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Mapear o fluxo real para comparar com o fluxo modelado no módulo de comandas; identificar etapas que o desenho atual não previu.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Vocês usam algum sistema ou é tudo manual/de papel? Se usam sistema, o que funciona bem e o que trava?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RF01–RF04, RNF02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Levantar benchmarking de usabilidade real, insumo pra meta de "N toques" do RNF02 (hoje um valor em aberto).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Em algum momento do processo você sente que perde tempo ou repete trabalho?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RNF01, RNF02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Achado do questionário de cliente aponta demora como maior incômodo (50%) — checar se a origem é percebida do lado do garçom também.</w:t>
            </w:r>
          </w:p>
        </w:tc>
      </w:tr>
    </w:tbl>
    <w:p>
      <w:pPr>
        <w:pStyle w:val="Heading2"/>
        <w:spacing w:after="120" w:before="260"/>
      </w:pPr>
      <w:r>
        <w:t xml:space="preserve">Bloco 2 — Alocação de garçons e distribuição de praças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Pergunta-guia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Conecta com</w:t>
            </w:r>
          </w:p>
        </w:tc>
        <w:tc>
          <w:tcPr>
            <w:tcW w:type="dxa" w:w="396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perguntar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Como as praças/mesas são distribuídas entre os garçons hoje? Quem decide, e com base em quê?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RF06–RF08, RN03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Entender o critério real usado hoje — é a base empírica mais direta para propor a função objetivo do PL.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Você sente diferença de faturamento ou gorjeta entre praças? Pode dar um exemplo de uma situação em que isso ficou claro?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RF08, RN03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Aprofundar o achado quantitativo (100% dos garçons percebem diferença, nota 4,0/5 para "seria mais justo com dados") com um caso concreto, citável.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Se o sistema sugerisse a distribuição automaticamente, o que teria que levar em conta para você confiar nessa sugestão?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RN03, RF07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Pergunta central para RN03 — resposta aqui pode virar diretamente um candidato a critério da função objetivo (tempo de espera? nº de mesas? faturamento histórico?).</w:t>
            </w:r>
          </w:p>
        </w:tc>
      </w:tr>
    </w:tbl>
    <w:p>
      <w:pPr>
        <w:pStyle w:val="Heading2"/>
        <w:spacing w:after="120" w:before="260"/>
      </w:pPr>
      <w:r>
        <w:t xml:space="preserve">Bloco 3 — Cardápio e comunicação de informações do prato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Pergunta-guia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Conecta com</w:t>
            </w:r>
          </w:p>
        </w:tc>
        <w:tc>
          <w:tcPr>
            <w:tcW w:type="dxa" w:w="396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perguntar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Com que frequência um cliente pergunta sobre restrição alimentar (vegano, sem glúten, sem lactose, etc.)? Como você responde hoje?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RF05, RF09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Cruzar com o achado de cliente (83% relatam dificuldade de identificar flags) do lado do garçom, que hoje é o canal de resposta a essa dúvida.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Você acha que um cardápio digital (QR code/tablet), só para consulta e sem pedido pelo cliente, ajudaria ou atrapalharia seu trabalho?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RF05 (pendente de validação)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Testar diretamente a hipótese da opção B do cardápio digital com quem seria afetado na prática — insumo direto pra decisão pendente com o orientador.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Quando você sugere um prato ou combinação, o que guia essa sugestão hoje?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RF09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Base qualitativa para justificar a lógica de recomendação por clusterização/regras de associação como apoio (não substituição) ao critério do garçom.</w:t>
            </w:r>
          </w:p>
        </w:tc>
      </w:tr>
    </w:tbl>
    <w:p>
      <w:pPr>
        <w:pStyle w:val="Heading2"/>
        <w:spacing w:after="120" w:before="260"/>
      </w:pPr>
      <w:r>
        <w:t xml:space="preserve">Bloco 4 — Ranking, desempenho e gamificação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Pergunta-guia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Conecta com</w:t>
            </w:r>
          </w:p>
        </w:tc>
        <w:tc>
          <w:tcPr>
            <w:tcW w:type="dxa" w:w="396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perguntar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Como você imagina que seria ver, em tempo real, um ranking de desempenho entre os garçons? O que sentiria?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RF11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O questionário (n=2) apontou 100% de motivação com ranking — número pequeno demais para confiar; a entrevista testa se a reação é realmente positiva ou só "resposta esperada" em um questionário curto.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Você já trabalhou (aqui ou em outro lugar) com algum tipo de meta, ranking ou comparação de desempenho? Como foi?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RF11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Buscar experiência real, não hipotética — mais forte como evidência que uma resposta a uma pergunta fechada.</w:t>
            </w:r>
          </w:p>
        </w:tc>
      </w:tr>
    </w:tbl>
    <w:p>
      <w:pPr>
        <w:pStyle w:val="Heading2"/>
        <w:spacing w:after="120" w:before="260"/>
      </w:pPr>
      <w:r>
        <w:t xml:space="preserve">Bloco 5 — Composição da mesa e atendimento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Pergunta-guia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Conecta com</w:t>
            </w:r>
          </w:p>
        </w:tc>
        <w:tc>
          <w:tcPr>
            <w:tcW w:type="dxa" w:w="396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perguntar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Ao ver uma mesa chegando, o que você observa primeiro para decidir como vai atender (número de pessoas, se tem criança, horário)?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RF02, RN01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Validar se os sinais observáveis definidos (nº de lugares, item infantil) batem com o que o garçom de fato usa na prática, antes do sistema formalizar essa regra.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Alguma vez a forma como você classificaria uma mesa "no olhar" seria diferente do que um sistema baseado só em número de lugares e pedido concluiria? Pode dar um exemplo?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RF02, RN01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Testar os limites do modelo híbrido (sistema sugere, garçom ajusta) — insumo para justificar por que a confirmação humana é necessária, não só decorativa.</w:t>
            </w:r>
          </w:p>
        </w:tc>
      </w:tr>
    </w:tbl>
    <w:p>
      <w:pPr>
        <w:pStyle w:val="Heading2"/>
        <w:spacing w:after="120" w:before="260"/>
      </w:pPr>
      <w:r>
        <w:t xml:space="preserve">Bloco 6 — Dores gerais e prioridades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rPr>
          <w:tblHeader/>
        </w:trPr>
        <w:tc>
          <w:tcPr>
            <w:tcW w:type="dxa" w:w="39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Pergunta-guia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Conecta com</w:t>
            </w:r>
          </w:p>
        </w:tc>
        <w:tc>
          <w:tcPr>
            <w:tcW w:type="dxa" w:w="3960"/>
            <w:shd w:fill="2F5233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perguntar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Se pudesse mudar uma coisa no processo de atendimento hoje, qual seria?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Transversal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Pergunta aberta de fechamento temático — costuma revelar prioridades que perguntas dirigidas não capturam.</w:t>
            </w:r>
          </w:p>
        </w:tc>
      </w:tr>
      <w:tr>
        <w:tc>
          <w:tcPr>
            <w:tcW w:type="dxa" w:w="3900"/>
          </w:tcPr>
          <w:p>
            <w:r>
              <w:rPr>
                <w:sz w:val="20"/>
                <w:szCs w:val="20"/>
              </w:rPr>
              <w:t xml:space="preserve">Existe algo que um sistema *não deveria* fazer, na sua visão — algo que deve continuar sendo decisão sua?</w:t>
            </w:r>
          </w:p>
        </w:tc>
        <w:tc>
          <w:tcPr>
            <w:tcW w:type="dxa" w:w="1500"/>
          </w:tcPr>
          <w:p>
            <w:r>
              <w:rPr>
                <w:b/>
                <w:bCs/>
                <w:sz w:val="20"/>
                <w:szCs w:val="20"/>
              </w:rPr>
              <w:t xml:space="preserve">RF07, princípio geral do módulo</w:t>
            </w:r>
          </w:p>
        </w:tc>
        <w:tc>
          <w:tcPr>
            <w:tcW w:type="dxa" w:w="3960"/>
          </w:tcPr>
          <w:p>
            <w:r>
              <w:rPr>
                <w:sz w:val="20"/>
                <w:szCs w:val="20"/>
              </w:rPr>
              <w:t xml:space="preserve">Insumo direto para reforçar, na banca, que o GASTRA mantém decisão humana final (garçom/metre) e não substitui o atendimento — alinhado à delimitação original do Gastra.pdf.</w:t>
            </w:r>
          </w:p>
        </w:tc>
      </w:tr>
    </w:tbl>
    <w:p>
      <w:pPr>
        <w:pStyle w:val="Heading2"/>
        <w:spacing w:after="120" w:before="260"/>
      </w:pPr>
      <w:r>
        <w:t xml:space="preserve">Bloco 7 — Fechamento</w:t>
      </w:r>
    </w:p>
    <w:p>
      <w:pPr>
        <w:spacing w:after="160"/>
      </w:pPr>
      <w:r>
        <w:t xml:space="preserve">Perguntar se há algo que o entrevistado gostaria de comentar e não foi perguntado. Agradecer, reforçar que pode pedir para revisar ou remover qualquer trecho antes da versão final do TG, se desejar.</w:t>
      </w:r>
    </w:p>
    <w:p>
      <w:pPr>
        <w:pStyle w:val="Heading1"/>
        <w:spacing w:after="160" w:before="320"/>
      </w:pPr>
      <w:r>
        <w:t xml:space="preserve">4. Critérios de análise pós-entrevista</w:t>
      </w:r>
    </w:p>
    <w:p>
      <w:pPr>
        <w:spacing w:after="160"/>
      </w:pPr>
      <w:r>
        <w:t xml:space="preserve">Para manter rastreabilidade com o restante do projeto (mesma lógica da Matriz de Rastreabilidade):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Transcrever ou sistematizar as respostas logo após a entrevista, por bloco.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cada achado relevante, marcar a qual RF/RN ele se conecta (usando os IDs desta tabela) — assim como a seção 6 do GASTRA_STATUS.md já marca achados do questionário com "[TG]".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Sinalizar explicitamente onde o achado da entrevista confirma, contradiz ou complementa o achado do questionário (n=2/n=12) — divergência também é dado relevante, não precisa "bater" para ser útil.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Priorizar o achado do Bloco 2 (alocação/praças) — é o único com potencial de resolver diretamente o RN03, hoje a única pendência marcada como "Em aberto" (não apenas "pendente de validação") na Matriz de Rastreabilidade.</w:t>
      </w:r>
    </w:p>
    <w:p>
      <w:pPr>
        <w:pStyle w:val="Heading1"/>
        <w:spacing w:after="160" w:before="320"/>
      </w:pPr>
      <w:r>
        <w:t xml:space="preserve">5. Pendências que esta entrevista não resolve sozinha</w:t>
      </w:r>
    </w:p>
    <w:p>
      <w:pPr>
        <w:spacing w:after="160"/>
      </w:pPr>
      <w:r>
        <w:t xml:space="preserve">Para não criar expectativa maior do que o instrumento permite: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entrevista dá evidência qualitativa, não estatística — continua sendo necessário crescer a amostra do questionário fechado para qualquer afirmação quantitativa no TG.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decisão sobre nomear ou não o Cocobambu (seção 2.4) segue pendente de validação, independente do conteúdo da entrevista.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RF05 (cardápio digital) e o módulo de comandas como um todo continuam como proposta de expansão de escopo até validação formal com o Prof. Ferrucci — a entrevista fortalece o argumento, mas não substitui essa validação.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2026-08-18T21:45:15.411Z</dcterms:created>
  <dcterms:modified xsi:type="dcterms:W3CDTF">2026-08-18T21:45:15.424Z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