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GASTRA — Arquitetura do Sistema</w:t>
      </w:r>
    </w:p>
    <w:p>
      <w:r>
        <w:rPr>
          <w:b/>
        </w:rPr>
        <w:t>TG — FATEC Araraquara</w:t>
      </w:r>
      <w:r>
        <w:t xml:space="preserve"> · Autores: Daniel Velluto Bento e Pedro Luis Otrente de Campos · Orientador: Prof. Me. Leonardo José de Lima Ferrucci</w:t>
      </w:r>
    </w:p>
    <w:p>
      <w:r>
        <w:t xml:space="preserve">Documenta a arquitetura do GASTRA: componentes, camadas, decisões técnicas e os </w:t>
      </w:r>
      <w:r>
        <w:rPr>
          <w:i/>
        </w:rPr>
        <w:t>trade-offs</w:t>
      </w:r>
      <w:r>
        <w:t xml:space="preserve"> de cada uma (issue #46). Descreve o sistema </w:t>
      </w:r>
      <w:r>
        <w:rPr>
          <w:b/>
        </w:rPr>
        <w:t>como ele está no repositório</w:t>
      </w:r>
      <w:r>
        <w:t>, e separa com clareza o que já existe do que está planejado.</w:t>
      </w:r>
    </w:p>
    <w:p>
      <w:r>
        <w:t xml:space="preserve">Substitui </w:t>
      </w:r>
      <w:r>
        <w:rPr>
          <w:rFonts w:ascii="Consolas" w:hAnsi="Consolas"/>
        </w:rPr>
        <w:t>GASTRA_Arquitetura_Tecnologias.docx</w:t>
      </w:r>
      <w:r>
        <w:t xml:space="preserve">, que foi escrito antes de o código existir e ficou divergente em alguns pontos (seção 12). A versão </w:t>
      </w:r>
      <w:r>
        <w:rPr>
          <w:rFonts w:ascii="Consolas" w:hAnsi="Consolas"/>
        </w:rPr>
        <w:t>.docx</w:t>
      </w:r>
      <w:r>
        <w:t xml:space="preserve"> deste documento é gerada a partir deste arquivo.</w:t>
      </w:r>
    </w:p>
    <w:p>
      <w:r>
        <w:rPr>
          <w:b/>
        </w:rPr>
        <w:t>Legenda usada no documento:</w:t>
      </w:r>
      <w:r>
        <w:t xml:space="preserve"> ✔ implementado · ○ planejado (na versão .docx: ✔ e ○).</w:t>
      </w:r>
    </w:p>
    <w:p>
      <w:pPr>
        <w:pStyle w:val="Heading2"/>
      </w:pPr>
      <w:r>
        <w:t>1. Visão geral</w:t>
      </w:r>
    </w:p>
    <w:p>
      <w:r>
        <w:t>O GASTRA tem três componentes de software e um banco de dados: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79"/>
            <w:shd w:val="clear" w:color="auto" w:fill="DCE3EE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1915"/>
            <w:shd w:val="clear" w:color="auto" w:fill="DCE3EE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3150"/>
            <w:shd w:val="clear" w:color="auto" w:fill="DCE3EE"/>
          </w:tcPr>
          <w:p>
            <w:r>
              <w:rPr>
                <w:b/>
                <w:sz w:val="18"/>
              </w:rPr>
              <w:t>Responsabilidade</w:t>
            </w:r>
          </w:p>
        </w:tc>
        <w:tc>
          <w:tcPr>
            <w:tcW w:type="dxa" w:w="2793"/>
            <w:shd w:val="clear" w:color="auto" w:fill="DCE3EE"/>
          </w:tcPr>
          <w:p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1779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1915"/>
          </w:tcPr>
          <w:p>
            <w:r>
              <w:rPr>
                <w:sz w:val="18"/>
              </w:rPr>
              <w:t>Angular 22 (SPA)</w:t>
            </w:r>
          </w:p>
        </w:tc>
        <w:tc>
          <w:tcPr>
            <w:tcW w:type="dxa" w:w="3150"/>
          </w:tcPr>
          <w:p>
            <w:r>
              <w:rPr>
                <w:sz w:val="18"/>
              </w:rPr>
              <w:t>Telas do garçom, metre, gerente, coordenador e cliente</w:t>
            </w:r>
          </w:p>
        </w:tc>
        <w:tc>
          <w:tcPr>
            <w:tcW w:type="dxa" w:w="2793"/>
          </w:tcPr>
          <w:p>
            <w:r>
              <w:rPr>
                <w:sz w:val="18"/>
              </w:rPr>
              <w:t>✔ estrutura inicial · ○ telas</w:t>
            </w:r>
          </w:p>
        </w:tc>
      </w:tr>
      <w:tr>
        <w:tc>
          <w:tcPr>
            <w:tcW w:type="dxa" w:w="1779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type="dxa" w:w="1915"/>
          </w:tcPr>
          <w:p>
            <w:r>
              <w:rPr>
                <w:sz w:val="18"/>
              </w:rPr>
              <w:t>ASP.NET Core (.NET 10)</w:t>
            </w:r>
          </w:p>
        </w:tc>
        <w:tc>
          <w:tcPr>
            <w:tcW w:type="dxa" w:w="3150"/>
          </w:tcPr>
          <w:p>
            <w:r>
              <w:rPr>
                <w:sz w:val="18"/>
              </w:rPr>
              <w:t>Regras de negócio, autenticação, autorização, gravação no banco</w:t>
            </w:r>
          </w:p>
        </w:tc>
        <w:tc>
          <w:tcPr>
            <w:tcW w:type="dxa" w:w="2793"/>
          </w:tcPr>
          <w:p>
            <w:r>
              <w:rPr>
                <w:sz w:val="18"/>
              </w:rPr>
              <w:t>✔ cardápio, autenticação, usuários · ○ comandas, alocação, BI</w:t>
            </w:r>
          </w:p>
        </w:tc>
      </w:tr>
      <w:tr>
        <w:tc>
          <w:tcPr>
            <w:tcW w:type="dxa" w:w="1779"/>
          </w:tcPr>
          <w:p>
            <w:r>
              <w:rPr>
                <w:b/>
                <w:sz w:val="18"/>
              </w:rPr>
              <w:t>Camada analítica</w:t>
            </w:r>
          </w:p>
        </w:tc>
        <w:tc>
          <w:tcPr>
            <w:tcW w:type="dxa" w:w="1915"/>
          </w:tcPr>
          <w:p>
            <w:r>
              <w:rPr>
                <w:sz w:val="18"/>
              </w:rPr>
              <w:t>Python 3.13 + FastAPI</w:t>
            </w:r>
          </w:p>
        </w:tc>
        <w:tc>
          <w:tcPr>
            <w:tcW w:type="dxa" w:w="3150"/>
          </w:tcPr>
          <w:p>
            <w:r>
              <w:rPr>
                <w:sz w:val="18"/>
              </w:rPr>
              <w:t>Cálculos: recomendação de pratos e alocação de garçons por programação linear</w:t>
            </w:r>
          </w:p>
        </w:tc>
        <w:tc>
          <w:tcPr>
            <w:tcW w:type="dxa" w:w="2793"/>
          </w:tcPr>
          <w:p>
            <w:r>
              <w:rPr>
                <w:sz w:val="18"/>
              </w:rPr>
              <w:t xml:space="preserve">✔ estrutura e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 xml:space="preserve"> · ○ algoritmos</w:t>
            </w:r>
          </w:p>
        </w:tc>
      </w:tr>
      <w:tr>
        <w:tc>
          <w:tcPr>
            <w:tcW w:type="dxa" w:w="1779"/>
          </w:tcPr>
          <w:p>
            <w:r>
              <w:rPr>
                <w:b/>
                <w:sz w:val="18"/>
              </w:rPr>
              <w:t>Banco de dados</w:t>
            </w:r>
          </w:p>
        </w:tc>
        <w:tc>
          <w:tcPr>
            <w:tcW w:type="dxa" w:w="1915"/>
          </w:tcPr>
          <w:p>
            <w:r>
              <w:rPr>
                <w:sz w:val="18"/>
              </w:rPr>
              <w:t>MySQL 8.4</w:t>
            </w:r>
          </w:p>
        </w:tc>
        <w:tc>
          <w:tcPr>
            <w:tcW w:type="dxa" w:w="3150"/>
          </w:tcPr>
          <w:p>
            <w:r>
              <w:rPr>
                <w:sz w:val="18"/>
              </w:rPr>
              <w:t>Dados transacionais e views de BI</w:t>
            </w:r>
          </w:p>
        </w:tc>
        <w:tc>
          <w:tcPr>
            <w:tcW w:type="dxa" w:w="2793"/>
          </w:tcPr>
          <w:p>
            <w:r>
              <w:rPr>
                <w:sz w:val="18"/>
              </w:rPr>
              <w:t>✔ tabelas do cardápio, de acesso e do núcleo de comandas · ✔ views de BI e triggers de auditoria · ○ promoções</w:t>
            </w:r>
          </w:p>
        </w:tc>
      </w:tr>
    </w:tbl>
    <w:p/>
    <w:p>
      <w:r>
        <w:t xml:space="preserve">O princípio que organiza tudo: </w:t>
      </w:r>
      <w:r>
        <w:rPr>
          <w:b/>
        </w:rPr>
        <w:t>o backend é o único dono das regras de negócio e o único que grava no banco.</w:t>
      </w:r>
      <w:r>
        <w:t xml:space="preserve"> O frontend só apresenta e coleta dados; o Python só calcula e devolve o resultado.</w:t>
      </w:r>
    </w:p>
    <w:p>
      <w:pPr>
        <w:pStyle w:val="Heading2"/>
      </w:pPr>
      <w:r>
        <w:t>2. Diagrama de implantação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0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TRA_Arquitetura_Implant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Implantação. Fonte editável: docs/diagramas/_fontes/GASTRA_Arquitetura_Implantacao.drawio.</w:t>
      </w:r>
    </w:p>
    <w:p>
      <w:pPr>
        <w:pStyle w:val="Heading3"/>
      </w:pPr>
      <w:r>
        <w:t>2.1 Dois ambientes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88"/>
            <w:shd w:val="clear" w:color="auto" w:fill="DCE3EE"/>
          </w:tcPr>
          <w:p/>
        </w:tc>
        <w:tc>
          <w:tcPr>
            <w:tcW w:type="dxa" w:w="4818"/>
            <w:shd w:val="clear" w:color="auto" w:fill="DCE3EE"/>
          </w:tcPr>
          <w:p>
            <w:r>
              <w:rPr>
                <w:b/>
                <w:sz w:val="18"/>
              </w:rPr>
              <w:t>Desenvolvimento (hoje)</w:t>
            </w:r>
          </w:p>
        </w:tc>
        <w:tc>
          <w:tcPr>
            <w:tcW w:type="dxa" w:w="3032"/>
            <w:shd w:val="clear" w:color="auto" w:fill="DCE3EE"/>
          </w:tcPr>
          <w:p>
            <w:r>
              <w:rPr>
                <w:b/>
                <w:sz w:val="18"/>
              </w:rPr>
              <w:t>Demonstração / banca (○)</w:t>
            </w:r>
          </w:p>
        </w:tc>
      </w:tr>
      <w:tr>
        <w:tc>
          <w:tcPr>
            <w:tcW w:type="dxa" w:w="1788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4818"/>
          </w:tcPr>
          <w:p>
            <w:r>
              <w:rPr>
                <w:sz w:val="18"/>
              </w:rPr>
              <w:t>contêiner Docker (</w:t>
            </w:r>
            <w:r>
              <w:rPr>
                <w:rFonts w:ascii="Consolas" w:hAnsi="Consolas"/>
                <w:sz w:val="18"/>
              </w:rPr>
              <w:t>infra/docker-compose.yml</w:t>
            </w:r>
            <w:r>
              <w:rPr>
                <w:sz w:val="18"/>
              </w:rPr>
              <w:t>), porta 3307 no host</w:t>
            </w:r>
          </w:p>
        </w:tc>
        <w:tc>
          <w:tcPr>
            <w:tcW w:type="dxa" w:w="3032"/>
          </w:tcPr>
          <w:p>
            <w:r>
              <w:rPr>
                <w:sz w:val="18"/>
              </w:rPr>
              <w:t>contêiner</w:t>
            </w:r>
          </w:p>
        </w:tc>
      </w:tr>
      <w:tr>
        <w:tc>
          <w:tcPr>
            <w:tcW w:type="dxa" w:w="1788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818"/>
          </w:tcPr>
          <w:p>
            <w:r>
              <w:rPr>
                <w:rFonts w:ascii="Consolas" w:hAnsi="Consolas"/>
                <w:sz w:val="18"/>
              </w:rPr>
              <w:t>dotnet run</w:t>
            </w:r>
            <w:r>
              <w:rPr>
                <w:sz w:val="18"/>
              </w:rPr>
              <w:t xml:space="preserve"> na máquina</w:t>
            </w:r>
          </w:p>
        </w:tc>
        <w:tc>
          <w:tcPr>
            <w:tcW w:type="dxa" w:w="3032"/>
          </w:tcPr>
          <w:p>
            <w:r>
              <w:rPr>
                <w:sz w:val="18"/>
              </w:rPr>
              <w:t>contêiner (Dockerfile a criar)</w:t>
            </w:r>
          </w:p>
        </w:tc>
      </w:tr>
      <w:tr>
        <w:tc>
          <w:tcPr>
            <w:tcW w:type="dxa" w:w="1788"/>
          </w:tcPr>
          <w:p>
            <w:r>
              <w:rPr>
                <w:sz w:val="18"/>
              </w:rPr>
              <w:t>Camada analítica</w:t>
            </w:r>
          </w:p>
        </w:tc>
        <w:tc>
          <w:tcPr>
            <w:tcW w:type="dxa" w:w="4818"/>
          </w:tcPr>
          <w:p>
            <w:r>
              <w:rPr>
                <w:rFonts w:ascii="Consolas" w:hAnsi="Consolas"/>
                <w:sz w:val="18"/>
              </w:rPr>
              <w:t>uvicorn</w:t>
            </w:r>
            <w:r>
              <w:rPr>
                <w:sz w:val="18"/>
              </w:rPr>
              <w:t xml:space="preserve"> na máquina, porta 8000</w:t>
            </w:r>
          </w:p>
        </w:tc>
        <w:tc>
          <w:tcPr>
            <w:tcW w:type="dxa" w:w="3032"/>
          </w:tcPr>
          <w:p>
            <w:r>
              <w:rPr>
                <w:sz w:val="18"/>
              </w:rPr>
              <w:t>contêiner (Dockerfile a criar)</w:t>
            </w:r>
          </w:p>
        </w:tc>
      </w:tr>
      <w:tr>
        <w:tc>
          <w:tcPr>
            <w:tcW w:type="dxa" w:w="1788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818"/>
          </w:tcPr>
          <w:p>
            <w:r>
              <w:rPr>
                <w:rFonts w:ascii="Consolas" w:hAnsi="Consolas"/>
                <w:sz w:val="18"/>
              </w:rPr>
              <w:t>ng serve</w:t>
            </w:r>
            <w:r>
              <w:rPr>
                <w:sz w:val="18"/>
              </w:rPr>
              <w:t xml:space="preserve"> na máquina, porta 4200</w:t>
            </w:r>
          </w:p>
        </w:tc>
        <w:tc>
          <w:tcPr>
            <w:tcW w:type="dxa" w:w="3032"/>
          </w:tcPr>
          <w:p>
            <w:r>
              <w:rPr>
                <w:sz w:val="18"/>
              </w:rPr>
              <w:t>contêiner nginx servindo os arquivos compilados</w:t>
            </w:r>
          </w:p>
        </w:tc>
      </w:tr>
    </w:tbl>
    <w:p/>
    <w:p>
      <w:r>
        <w:rPr>
          <w:b/>
        </w:rPr>
        <w:t>Por que só o MySQL no Docker durante o desenvolvimento:</w:t>
      </w:r>
      <w:r>
        <w:t xml:space="preserve"> o código muda a cada minuto, e rodar API, Python e Angular direto na máquina permite recarregar ao salvar e depurar sem reconstruir imagens. O banco, ao contrário, precisa ser idêntico para a dupla — e é o que o Docker garante.</w:t>
      </w:r>
    </w:p>
    <w:p>
      <w:r>
        <w:rPr>
          <w:b/>
        </w:rPr>
        <w:t>Por que tudo no Docker na demonstração:</w:t>
      </w:r>
      <w:r>
        <w:t xml:space="preserve"> um </w:t>
      </w:r>
      <w:r>
        <w:rPr>
          <w:rFonts w:ascii="Consolas" w:hAnsi="Consolas"/>
        </w:rPr>
        <w:t>docker compose up</w:t>
      </w:r>
      <w:r>
        <w:t xml:space="preserve"> sobe o sistema inteiro em qualquer máquina, sem instalar .NET, Python ou Node. Isso reduz o risco no dia da banca.</w:t>
      </w:r>
    </w:p>
    <w:p>
      <w:r>
        <w:t xml:space="preserve">O Angular aparece fora do servidor no diagrama porque </w:t>
      </w:r>
      <w:r>
        <w:rPr>
          <w:b/>
        </w:rPr>
        <w:t>executa no navegador</w:t>
      </w:r>
      <w:r>
        <w:t xml:space="preserve"> do usuário; o contêiner </w:t>
      </w:r>
      <w:r>
        <w:rPr>
          <w:rFonts w:ascii="Consolas" w:hAnsi="Consolas"/>
        </w:rPr>
        <w:t>web</w:t>
      </w:r>
      <w:r>
        <w:t xml:space="preserve"> apenas entrega os arquivos da aplicação.</w:t>
      </w:r>
    </w:p>
    <w:p>
      <w:pPr>
        <w:pStyle w:val="Heading2"/>
      </w:pPr>
      <w:r>
        <w:t>3. Decisões de arquitetura</w:t>
      </w:r>
    </w:p>
    <w:p>
      <w:r>
        <w:t>Cada decisão com a alternativa considerada e o custo aceito.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20"/>
            <w:shd w:val="clear" w:color="auto" w:fill="DCE3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57"/>
            <w:shd w:val="clear" w:color="auto" w:fill="DCE3EE"/>
          </w:tcPr>
          <w:p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2076"/>
            <w:shd w:val="clear" w:color="auto" w:fill="DCE3EE"/>
          </w:tcPr>
          <w:p>
            <w:r>
              <w:rPr>
                <w:b/>
                <w:sz w:val="18"/>
              </w:rPr>
              <w:t>Alternativa considerada</w:t>
            </w:r>
          </w:p>
        </w:tc>
        <w:tc>
          <w:tcPr>
            <w:tcW w:type="dxa" w:w="2433"/>
            <w:shd w:val="clear" w:color="auto" w:fill="DCE3EE"/>
          </w:tcPr>
          <w:p>
            <w:r>
              <w:rPr>
                <w:b/>
                <w:sz w:val="18"/>
              </w:rPr>
              <w:t>Por que esta</w:t>
            </w:r>
          </w:p>
        </w:tc>
        <w:tc>
          <w:tcPr>
            <w:tcW w:type="dxa" w:w="2552"/>
            <w:shd w:val="clear" w:color="auto" w:fill="DCE3EE"/>
          </w:tcPr>
          <w:p>
            <w:r>
              <w:rPr>
                <w:b/>
                <w:sz w:val="18"/>
              </w:rPr>
              <w:t>Custo aceito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957"/>
          </w:tcPr>
          <w:p>
            <w:r>
              <w:rPr>
                <w:sz w:val="18"/>
              </w:rPr>
              <w:t xml:space="preserve">Backend em </w:t>
            </w:r>
            <w:r>
              <w:rPr>
                <w:b/>
                <w:sz w:val="18"/>
              </w:rPr>
              <w:t>camadas separadas em projetos</w:t>
            </w:r>
            <w:r>
              <w:rPr>
                <w:sz w:val="18"/>
              </w:rPr>
              <w:t xml:space="preserve"> (seção 4)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Um único projeto com pastas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O compilador impede dependências proibidas (o domínio nem enxerga o banco), e um teste verifica a regra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Mais arquivos e projetos para navegar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957"/>
          </w:tcPr>
          <w:p>
            <w:r>
              <w:rPr>
                <w:sz w:val="18"/>
              </w:rPr>
              <w:t xml:space="preserve">Cálculos em </w:t>
            </w:r>
            <w:r>
              <w:rPr>
                <w:b/>
                <w:sz w:val="18"/>
              </w:rPr>
              <w:t>serviço Python separado</w:t>
            </w:r>
            <w:r>
              <w:rPr>
                <w:sz w:val="18"/>
              </w:rPr>
              <w:t>, chamado por HTTP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Fazer tudo em C# (ex.: ML.NET)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Python tem as bibliotecas maduras de regras de associação (mlxtend), clusterização (scikit-learn) e programação linear (PuLP) usadas na fundamentação do TG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Um serviço a mais para subir e uma chamada de rede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957"/>
          </w:tcPr>
          <w:p>
            <w:r>
              <w:rPr>
                <w:b/>
                <w:sz w:val="18"/>
              </w:rPr>
              <w:t>Núcleo de comandas não depende do Python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Consultar o Python ao abrir mesa ou lançar pedido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RNF05: a comanda precisa funcionar o expediente inteiro. Se o Python cair, só a sugestão fica indisponível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A sugestão de pratos/alocação pode faltar temporariamente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957"/>
          </w:tcPr>
          <w:p>
            <w:r>
              <w:rPr>
                <w:b/>
                <w:sz w:val="18"/>
              </w:rPr>
              <w:t>EF Core 9 + Pomelo 9</w:t>
            </w:r>
            <w:r>
              <w:rPr>
                <w:sz w:val="18"/>
              </w:rPr>
              <w:t xml:space="preserve"> com a API em .NET 10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EF Core 10 com outro provider MySQL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O Pomelo é o provider MySQL mais usado no EF Core e ainda não tem versão para o EF 10; o EF Core 9 roda normalmente em .NET 10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Atualizar para EF 10 quando o Pomelo lançar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1957"/>
          </w:tcPr>
          <w:p>
            <w:r>
              <w:rPr>
                <w:b/>
                <w:sz w:val="18"/>
              </w:rPr>
              <w:t>Code First com migrations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Escrever o schema em SQL à mão (Database First)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O schema é versionado junto com o código, cada alteração vira um arquivo revisável em PR, e o SQL completo é gerado para a documentação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O SQL gerado precisa ser revisado (nomes, tipos, índices)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1957"/>
          </w:tcPr>
          <w:p>
            <w:r>
              <w:rPr>
                <w:b/>
                <w:sz w:val="18"/>
              </w:rPr>
              <w:t>Regras de negócio no domínio; banco sem stored procedures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Procedures para fechamento de comanda e taxa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Regra em C# é testável sem banco e fica num lugar só; procedure duplicaria a regra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Views e triggers só onde o banco é o lugar certo (seção 7)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1957"/>
          </w:tcPr>
          <w:p>
            <w:r>
              <w:rPr>
                <w:b/>
                <w:sz w:val="18"/>
              </w:rPr>
              <w:t>JWT + chave de sessão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Sessão em cookie no servidor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JWT funciona igual para Angular, Swagger e testes; a chave de sessão resolve o ponto fraco do JWT (não dá para "desligar" um token)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Uma consulta ao usuário por requisição autenticada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D8</w:t>
            </w:r>
          </w:p>
        </w:tc>
        <w:tc>
          <w:tcPr>
            <w:tcW w:type="dxa" w:w="1957"/>
          </w:tcPr>
          <w:p>
            <w:r>
              <w:rPr>
                <w:b/>
                <w:sz w:val="18"/>
              </w:rPr>
              <w:t>Mapster</w:t>
            </w:r>
            <w:r>
              <w:rPr>
                <w:sz w:val="18"/>
              </w:rPr>
              <w:t xml:space="preserve"> para converter entidade ↔ response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AutoMapper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Licença MIT; o AutoMapper passou a ter licenciamento comercial a partir da versão 15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Menos material de referência que o AutoMapper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1957"/>
          </w:tcPr>
          <w:p>
            <w:r>
              <w:rPr>
                <w:b/>
                <w:sz w:val="18"/>
              </w:rPr>
              <w:t>Mensagens de erro em arquivos .resx</w:t>
            </w:r>
            <w:r>
              <w:rPr>
                <w:sz w:val="18"/>
              </w:rPr>
              <w:t xml:space="preserve"> (pt-BR e en)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Textos fixos no código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O idioma é escolhido por requisição e nenhuma mensagem fica espalhada pelo código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Toda mensagem nova precisa entrar nos dois arquivos</w:t>
            </w:r>
          </w:p>
        </w:tc>
      </w:tr>
      <w:tr>
        <w:tc>
          <w:tcPr>
            <w:tcW w:type="dxa" w:w="620"/>
          </w:tcPr>
          <w:p>
            <w:r>
              <w:rPr>
                <w:sz w:val="18"/>
              </w:rPr>
              <w:t>D10</w:t>
            </w:r>
          </w:p>
        </w:tc>
        <w:tc>
          <w:tcPr>
            <w:tcW w:type="dxa" w:w="1957"/>
          </w:tcPr>
          <w:p>
            <w:r>
              <w:rPr>
                <w:b/>
                <w:sz w:val="18"/>
              </w:rPr>
              <w:t>Python lê o histórico só por views, com usuário somente leitura</w:t>
            </w:r>
            <w:r>
              <w:rPr>
                <w:sz w:val="18"/>
              </w:rPr>
              <w:t xml:space="preserve"> ○ </w:t>
            </w:r>
            <w:r>
              <w:rPr>
                <w:i/>
                <w:sz w:val="18"/>
              </w:rPr>
              <w:t>(aprovada pela dupla em 15/09)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  <w:t>O backend enviar todo o histórico em cada chamada</w:t>
            </w:r>
          </w:p>
        </w:tc>
        <w:tc>
          <w:tcPr>
            <w:tcW w:type="dxa" w:w="2433"/>
          </w:tcPr>
          <w:p>
            <w:r>
              <w:rPr>
                <w:sz w:val="18"/>
              </w:rPr>
              <w:t>As regras de associação precisam de todo o histórico de pedidos; mandar isso a cada chamada é pesado. A view entrega só colunas agregadas, sem dado pessoal, e o usuário não consegue gravar</w:t>
            </w:r>
          </w:p>
        </w:tc>
        <w:tc>
          <w:tcPr>
            <w:tcW w:type="dxa" w:w="2552"/>
          </w:tcPr>
          <w:p>
            <w:r>
              <w:rPr>
                <w:sz w:val="18"/>
              </w:rPr>
              <w:t>O Python passa a conhecer o nome das views</w:t>
            </w:r>
          </w:p>
        </w:tc>
      </w:tr>
    </w:tbl>
    <w:p/>
    <w:p>
      <w:pPr>
        <w:pStyle w:val="Heading2"/>
      </w:pPr>
      <w:r>
        <w:t>4. Backend — arquitetura em camadas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4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TRA_Classe_Paco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4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Camadas do backend e dependências. Fonte: docs/diagramas/_fontes/GASTRA_Classe_Pacotes.drawio (mesmo diagrama do Diagrama de Classes por Camadas).</w:t>
      </w:r>
    </w:p>
    <w:p>
      <w:pPr>
        <w:pStyle w:val="Heading3"/>
      </w:pPr>
      <w:r>
        <w:t>4.1 Responsabilidade de cada camada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2"/>
            <w:shd w:val="clear" w:color="auto" w:fill="DCE3EE"/>
          </w:tcPr>
          <w:p>
            <w:r>
              <w:rPr>
                <w:b/>
                <w:sz w:val="18"/>
              </w:rPr>
              <w:t>Projeto</w:t>
            </w:r>
          </w:p>
        </w:tc>
        <w:tc>
          <w:tcPr>
            <w:tcW w:type="dxa" w:w="4028"/>
            <w:shd w:val="clear" w:color="auto" w:fill="DCE3EE"/>
          </w:tcPr>
          <w:p>
            <w:r>
              <w:rPr>
                <w:b/>
                <w:sz w:val="18"/>
              </w:rPr>
              <w:t>Contém</w:t>
            </w:r>
          </w:p>
        </w:tc>
        <w:tc>
          <w:tcPr>
            <w:tcW w:type="dxa" w:w="2498"/>
            <w:shd w:val="clear" w:color="auto" w:fill="DCE3EE"/>
          </w:tcPr>
          <w:p>
            <w:r>
              <w:rPr>
                <w:b/>
                <w:sz w:val="18"/>
              </w:rPr>
              <w:t>Pode referenciar</w:t>
            </w:r>
          </w:p>
        </w:tc>
      </w:tr>
      <w:tr>
        <w:tc>
          <w:tcPr>
            <w:tcW w:type="dxa" w:w="3112"/>
          </w:tcPr>
          <w:p>
            <w:r>
              <w:rPr>
                <w:rFonts w:ascii="Consolas" w:hAnsi="Consolas"/>
                <w:sz w:val="18"/>
              </w:rPr>
              <w:t>Gastra.Domain</w:t>
            </w:r>
          </w:p>
        </w:tc>
        <w:tc>
          <w:tcPr>
            <w:tcW w:type="dxa" w:w="4028"/>
          </w:tcPr>
          <w:p>
            <w:r>
              <w:rPr>
                <w:sz w:val="18"/>
              </w:rPr>
              <w:t>Entidades com suas regras (</w:t>
            </w:r>
            <w:r>
              <w:rPr>
                <w:rFonts w:ascii="Consolas" w:hAnsi="Consolas"/>
                <w:sz w:val="18"/>
              </w:rPr>
              <w:t>ItemDoCardapio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Usuario</w:t>
            </w:r>
            <w:r>
              <w:rPr>
                <w:sz w:val="18"/>
              </w:rPr>
              <w:t xml:space="preserve">), enums e </w:t>
            </w:r>
            <w:r>
              <w:rPr>
                <w:b/>
                <w:sz w:val="18"/>
              </w:rPr>
              <w:t>interfaces</w:t>
            </w:r>
            <w:r>
              <w:rPr>
                <w:sz w:val="18"/>
              </w:rPr>
              <w:t xml:space="preserve"> de repositório, segurança e serviço analítico</w:t>
            </w:r>
          </w:p>
        </w:tc>
        <w:tc>
          <w:tcPr>
            <w:tcW w:type="dxa" w:w="2498"/>
          </w:tcPr>
          <w:p>
            <w:r>
              <w:rPr>
                <w:sz w:val="18"/>
              </w:rPr>
              <w:t>nenhuma camada</w:t>
            </w:r>
          </w:p>
        </w:tc>
      </w:tr>
      <w:tr>
        <w:tc>
          <w:tcPr>
            <w:tcW w:type="dxa" w:w="3112"/>
          </w:tcPr>
          <w:p>
            <w:r>
              <w:rPr>
                <w:rFonts w:ascii="Consolas" w:hAnsi="Consolas"/>
                <w:sz w:val="18"/>
              </w:rPr>
              <w:t>Gastra.Application</w:t>
            </w:r>
          </w:p>
        </w:tc>
        <w:tc>
          <w:tcPr>
            <w:tcW w:type="dxa" w:w="4028"/>
          </w:tcPr>
          <w:p>
            <w:r>
              <w:rPr>
                <w:b/>
                <w:sz w:val="18"/>
              </w:rPr>
              <w:t>Casos de uso</w:t>
            </w:r>
            <w:r>
              <w:rPr>
                <w:sz w:val="18"/>
              </w:rPr>
              <w:t xml:space="preserve"> (um por arquivo, ex.: </w:t>
            </w:r>
            <w:r>
              <w:rPr>
                <w:rFonts w:ascii="Consolas" w:hAnsi="Consolas"/>
                <w:sz w:val="18"/>
              </w:rPr>
              <w:t>CadastrarUsuarioUseCase</w:t>
            </w:r>
            <w:r>
              <w:rPr>
                <w:sz w:val="18"/>
              </w:rPr>
              <w:t>), validadores de formato e configuração do Mapster</w:t>
            </w:r>
          </w:p>
        </w:tc>
        <w:tc>
          <w:tcPr>
            <w:tcW w:type="dxa" w:w="2498"/>
          </w:tcPr>
          <w:p>
            <w:r>
              <w:rPr>
                <w:rFonts w:ascii="Consolas" w:hAnsi="Consolas"/>
                <w:sz w:val="18"/>
              </w:rPr>
              <w:t>Domain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Exceptions</w:t>
            </w:r>
          </w:p>
        </w:tc>
      </w:tr>
      <w:tr>
        <w:tc>
          <w:tcPr>
            <w:tcW w:type="dxa" w:w="3112"/>
          </w:tcPr>
          <w:p>
            <w:r>
              <w:rPr>
                <w:rFonts w:ascii="Consolas" w:hAnsi="Consolas"/>
                <w:sz w:val="18"/>
              </w:rPr>
              <w:t>Gastra.Communication</w:t>
            </w:r>
          </w:p>
        </w:tc>
        <w:tc>
          <w:tcPr>
            <w:tcW w:type="dxa" w:w="4028"/>
          </w:tcPr>
          <w:p>
            <w:r>
              <w:rPr>
                <w:b/>
                <w:sz w:val="18"/>
              </w:rPr>
              <w:t>Contratos da API</w:t>
            </w:r>
            <w:r>
              <w:rPr>
                <w:sz w:val="18"/>
              </w:rPr>
              <w:t>: requests e responses (os DTOs) e enums expostos</w:t>
            </w:r>
          </w:p>
        </w:tc>
        <w:tc>
          <w:tcPr>
            <w:tcW w:type="dxa" w:w="2498"/>
          </w:tcPr>
          <w:p>
            <w:r>
              <w:rPr>
                <w:sz w:val="18"/>
              </w:rPr>
              <w:t>nenhuma camada</w:t>
            </w:r>
          </w:p>
        </w:tc>
      </w:tr>
      <w:tr>
        <w:tc>
          <w:tcPr>
            <w:tcW w:type="dxa" w:w="3112"/>
          </w:tcPr>
          <w:p>
            <w:r>
              <w:rPr>
                <w:rFonts w:ascii="Consolas" w:hAnsi="Consolas"/>
                <w:sz w:val="18"/>
              </w:rPr>
              <w:t>Gastra.Exceptions</w:t>
            </w:r>
          </w:p>
        </w:tc>
        <w:tc>
          <w:tcPr>
            <w:tcW w:type="dxa" w:w="4028"/>
          </w:tcPr>
          <w:p>
            <w:r>
              <w:rPr>
                <w:sz w:val="18"/>
              </w:rPr>
              <w:t>Exceções de negócio com o código HTTP de cada uma e as mensagens pt-BR/en</w:t>
            </w:r>
          </w:p>
        </w:tc>
        <w:tc>
          <w:tcPr>
            <w:tcW w:type="dxa" w:w="2498"/>
          </w:tcPr>
          <w:p>
            <w:r>
              <w:rPr>
                <w:sz w:val="18"/>
              </w:rPr>
              <w:t>nenhuma camada</w:t>
            </w:r>
          </w:p>
        </w:tc>
      </w:tr>
      <w:tr>
        <w:tc>
          <w:tcPr>
            <w:tcW w:type="dxa" w:w="3112"/>
          </w:tcPr>
          <w:p>
            <w:r>
              <w:rPr>
                <w:rFonts w:ascii="Consolas" w:hAnsi="Consolas"/>
                <w:sz w:val="18"/>
              </w:rPr>
              <w:t>Gastra.Infrastructure</w:t>
            </w:r>
          </w:p>
        </w:tc>
        <w:tc>
          <w:tcPr>
            <w:tcW w:type="dxa" w:w="4028"/>
          </w:tcPr>
          <w:p>
            <w:r>
              <w:rPr>
                <w:b/>
                <w:sz w:val="18"/>
              </w:rPr>
              <w:t>Implementações</w:t>
            </w:r>
            <w:r>
              <w:rPr>
                <w:sz w:val="18"/>
              </w:rPr>
              <w:t xml:space="preserve"> das interfaces do domínio: </w:t>
            </w:r>
            <w:r>
              <w:rPr>
                <w:rFonts w:ascii="Consolas" w:hAnsi="Consolas"/>
                <w:sz w:val="18"/>
              </w:rPr>
              <w:t>GastraDbContext</w:t>
            </w:r>
            <w:r>
              <w:rPr>
                <w:sz w:val="18"/>
              </w:rPr>
              <w:t>, repositórios, migrations, BCrypt, JWT, TOTP; ○ cliente HTTP do serviço Python</w:t>
            </w:r>
          </w:p>
        </w:tc>
        <w:tc>
          <w:tcPr>
            <w:tcW w:type="dxa" w:w="2498"/>
          </w:tcPr>
          <w:p>
            <w:r>
              <w:rPr>
                <w:rFonts w:ascii="Consolas" w:hAnsi="Consolas"/>
                <w:sz w:val="18"/>
              </w:rPr>
              <w:t>Domain</w:t>
            </w:r>
          </w:p>
        </w:tc>
      </w:tr>
      <w:tr>
        <w:tc>
          <w:tcPr>
            <w:tcW w:type="dxa" w:w="3112"/>
          </w:tcPr>
          <w:p>
            <w:r>
              <w:rPr>
                <w:rFonts w:ascii="Consolas" w:hAnsi="Consolas"/>
                <w:sz w:val="18"/>
              </w:rPr>
              <w:t>Gastra.Api</w:t>
            </w:r>
          </w:p>
        </w:tc>
        <w:tc>
          <w:tcPr>
            <w:tcW w:type="dxa" w:w="4028"/>
          </w:tcPr>
          <w:p>
            <w:r>
              <w:rPr>
                <w:sz w:val="18"/>
              </w:rPr>
              <w:t xml:space="preserve">Controllers, filtro de exceções, configuração de autenticação e Swagger, </w:t>
            </w:r>
            <w:r>
              <w:rPr>
                <w:rFonts w:ascii="Consolas" w:hAnsi="Consolas"/>
                <w:sz w:val="18"/>
              </w:rPr>
              <w:t>Program.cs</w:t>
            </w:r>
          </w:p>
        </w:tc>
        <w:tc>
          <w:tcPr>
            <w:tcW w:type="dxa" w:w="2498"/>
          </w:tcPr>
          <w:p>
            <w:r>
              <w:rPr>
                <w:sz w:val="18"/>
              </w:rPr>
              <w:t xml:space="preserve">todas (é a </w:t>
            </w:r>
            <w:r>
              <w:rPr>
                <w:i/>
                <w:sz w:val="18"/>
              </w:rPr>
              <w:t>composition root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Por que Communication e Exceptions são projetos próprios:</w:t>
      </w:r>
      <w:r>
        <w:t xml:space="preserve"> os contratos da API não podem ser as entidades — se fossem, qualquer mudança no banco mudaria o JSON que o Angular recebe, e campos como </w:t>
      </w:r>
      <w:r>
        <w:rPr>
          <w:rFonts w:ascii="Consolas" w:hAnsi="Consolas"/>
        </w:rPr>
        <w:t>SenhaHash</w:t>
      </w:r>
      <w:r>
        <w:t xml:space="preserve"> poderiam vazar. As exceções ficam separadas para a </w:t>
      </w:r>
      <w:r>
        <w:rPr>
          <w:rFonts w:ascii="Consolas" w:hAnsi="Consolas"/>
        </w:rPr>
        <w:t>Application</w:t>
      </w:r>
      <w:r>
        <w:t xml:space="preserve"> lançar erros sem depender da camada web.</w:t>
      </w:r>
    </w:p>
    <w:p>
      <w:r>
        <w:rPr>
          <w:b/>
        </w:rPr>
        <w:t>Por que a Api referencia a Infrastructure:</w:t>
      </w:r>
      <w:r>
        <w:t xml:space="preserve"> só para registrar as implementações na injeção de dependência ao iniciar. Os controllers conversam apenas com casos de uso.</w:t>
      </w:r>
    </w:p>
    <w:p>
      <w:pPr>
        <w:pStyle w:val="Heading3"/>
      </w:pPr>
      <w:r>
        <w:t>4.2 A regra de dependência é verificada por teste</w:t>
      </w:r>
    </w:p>
    <w:p>
      <w:r>
        <w:rPr>
          <w:rFonts w:ascii="Consolas" w:hAnsi="Consolas"/>
        </w:rPr>
        <w:t>backend/tests/Gastra.Api.Tests/ArquiteturaTests.cs</w:t>
      </w:r>
      <w:r>
        <w:t xml:space="preserve"> inspeciona o código compilado de cada camada e falha se alguma delas depender de outra que não está na tabela acima. A arquitetura não depende de disciplina: se alguém quebrar a regra, o </w:t>
      </w:r>
      <w:r>
        <w:rPr>
          <w:rFonts w:ascii="Consolas" w:hAnsi="Consolas"/>
        </w:rPr>
        <w:t>dotnet test</w:t>
      </w:r>
      <w:r>
        <w:t xml:space="preserve"> avisa.</w:t>
      </w:r>
    </w:p>
    <w:p>
      <w:pPr>
        <w:pStyle w:val="Heading3"/>
      </w:pPr>
      <w:r>
        <w:t>4.3 Inversão de dependência</w:t>
      </w:r>
    </w:p>
    <w:p>
      <w:r>
        <w:t xml:space="preserve">O domínio </w:t>
      </w:r>
      <w:r>
        <w:rPr>
          <w:b/>
        </w:rPr>
        <w:t>define</w:t>
      </w:r>
      <w:r>
        <w:t xml:space="preserve"> o que precisa (</w:t>
      </w:r>
      <w:r>
        <w:rPr>
          <w:rFonts w:ascii="Consolas" w:hAnsi="Consolas"/>
        </w:rPr>
        <w:t>IRepositorioUsuario</w:t>
      </w:r>
      <w:r>
        <w:t xml:space="preserve">, </w:t>
      </w:r>
      <w:r>
        <w:rPr>
          <w:rFonts w:ascii="Consolas" w:hAnsi="Consolas"/>
        </w:rPr>
        <w:t>ICriptografiaSenha</w:t>
      </w:r>
      <w:r>
        <w:t xml:space="preserve">, ○ </w:t>
      </w:r>
      <w:r>
        <w:rPr>
          <w:rFonts w:ascii="Consolas" w:hAnsi="Consolas"/>
        </w:rPr>
        <w:t>IServicoAnalitico</w:t>
      </w:r>
      <w:r>
        <w:t xml:space="preserve">), e a infraestrutura </w:t>
      </w:r>
      <w:r>
        <w:rPr>
          <w:b/>
        </w:rPr>
        <w:t>implementa</w:t>
      </w:r>
      <w:r>
        <w:t xml:space="preserve"> (</w:t>
      </w:r>
      <w:r>
        <w:rPr>
          <w:rFonts w:ascii="Consolas" w:hAnsi="Consolas"/>
        </w:rPr>
        <w:t>RepositorioUsuario</w:t>
      </w:r>
      <w:r>
        <w:t xml:space="preserve"> com EF Core, </w:t>
      </w:r>
      <w:r>
        <w:rPr>
          <w:rFonts w:ascii="Consolas" w:hAnsi="Consolas"/>
        </w:rPr>
        <w:t>CriptografiaSenha</w:t>
      </w:r>
      <w:r>
        <w:t xml:space="preserve"> com BCrypt, ○ </w:t>
      </w:r>
      <w:r>
        <w:rPr>
          <w:rFonts w:ascii="Consolas" w:hAnsi="Consolas"/>
        </w:rPr>
        <w:t>ServicoAnaliticoHttp</w:t>
      </w:r>
      <w:r>
        <w:t>). Trocar o MySQL, o algoritmo de hash ou o serviço Python não exige mexer em regra de negócio — e os testes podem trocar o banco real por um banco em memória.</w:t>
      </w:r>
    </w:p>
    <w:p>
      <w:pPr>
        <w:pStyle w:val="Heading3"/>
      </w:pPr>
      <w:r>
        <w:t>4.4 Caminho de uma requisição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24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TRA_Arquitetura_Fluxo_Requi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4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Caminho de uma requisição. Fonte: docs/diagramas/_fontes/GASTRA_Arquitetura_Fluxo_Requisicao.drawio.</w:t>
      </w:r>
    </w:p>
    <w:p>
      <w:pPr>
        <w:pStyle w:val="ListNumber"/>
      </w:pPr>
      <w:r>
        <w:rPr>
          <w:b/>
        </w:rPr>
        <w:t>Pipeline do ASP.NET Core:</w:t>
      </w:r>
      <w:r>
        <w:t xml:space="preserve"> define o idioma pelo cabeçalho </w:t>
      </w:r>
      <w:r>
        <w:rPr>
          <w:rFonts w:ascii="Consolas" w:hAnsi="Consolas"/>
        </w:rPr>
        <w:t>Accept-Language</w:t>
      </w:r>
      <w:r>
        <w:t>, valida o token JWT e a chave de sessão, e confere o papel exigido pelo controller.</w:t>
      </w:r>
    </w:p>
    <w:p>
      <w:pPr>
        <w:pStyle w:val="ListNumber"/>
      </w:pPr>
      <w:r>
        <w:rPr>
          <w:b/>
        </w:rPr>
        <w:t>Controller:</w:t>
      </w:r>
      <w:r>
        <w:t xml:space="preserve"> recebe o JSON e chama o caso de uso; não tem regra.</w:t>
      </w:r>
    </w:p>
    <w:p>
      <w:pPr>
        <w:pStyle w:val="ListNumber"/>
      </w:pPr>
      <w:r>
        <w:rPr>
          <w:b/>
        </w:rPr>
        <w:t>Caso de uso:</w:t>
      </w:r>
      <w:r>
        <w:t xml:space="preserve"> valida o formato dos dados, busca a entidade pelo repositório e coordena a operação.</w:t>
      </w:r>
    </w:p>
    <w:p>
      <w:pPr>
        <w:pStyle w:val="ListNumber"/>
      </w:pPr>
      <w:r>
        <w:rPr>
          <w:b/>
        </w:rPr>
        <w:t>Entidade:</w:t>
      </w:r>
      <w:r>
        <w:t xml:space="preserve"> aplica a regra de negócio (ex.: preço maior que zero).</w:t>
      </w:r>
    </w:p>
    <w:p>
      <w:pPr>
        <w:pStyle w:val="ListNumber"/>
      </w:pPr>
      <w:r>
        <w:rPr>
          <w:b/>
        </w:rPr>
        <w:t>Repositório + UnitOfWork:</w:t>
      </w:r>
      <w:r>
        <w:t xml:space="preserve"> o EF Core grava tudo numa única transação (</w:t>
      </w:r>
      <w:r>
        <w:rPr>
          <w:rFonts w:ascii="Consolas" w:hAnsi="Consolas"/>
        </w:rPr>
        <w:t>Commit</w:t>
      </w:r>
      <w:r>
        <w:t>).</w:t>
      </w:r>
    </w:p>
    <w:p>
      <w:r>
        <w:t xml:space="preserve">Se algo falha, o caso de uso lança uma exceção de </w:t>
      </w:r>
      <w:r>
        <w:rPr>
          <w:rFonts w:ascii="Consolas" w:hAnsi="Consolas"/>
        </w:rPr>
        <w:t>Gastra.Exceptions</w:t>
      </w:r>
      <w:r>
        <w:t xml:space="preserve"> e o </w:t>
      </w:r>
      <w:r>
        <w:rPr>
          <w:rFonts w:ascii="Consolas" w:hAnsi="Consolas"/>
        </w:rPr>
        <w:t>FiltroExcecao</w:t>
      </w:r>
      <w:r>
        <w:t xml:space="preserve"> transforma em resposta HTTP. Todos os erros saem no mesmo formato:</w:t>
      </w:r>
    </w:p>
    <w:p>
      <w:r>
        <w:rPr>
          <w:rFonts w:ascii="Consolas" w:hAnsi="Consolas"/>
          <w:sz w:val="18"/>
        </w:rPr>
        <w:t>{ "erros": ["O preço deve ser maior que zero."] }</w:t>
      </w:r>
    </w:p>
    <w:p>
      <w:pPr>
        <w:pStyle w:val="Heading3"/>
      </w:pPr>
      <w:r>
        <w:t>4.5 Aspectos transversais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89"/>
            <w:shd w:val="clear" w:color="auto" w:fill="DCE3EE"/>
          </w:tcPr>
          <w:p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965"/>
            <w:shd w:val="clear" w:color="auto" w:fill="DCE3EE"/>
          </w:tcPr>
          <w:p>
            <w:r>
              <w:rPr>
                <w:b/>
                <w:sz w:val="18"/>
              </w:rPr>
              <w:t>Como está implementado</w:t>
            </w:r>
          </w:p>
        </w:tc>
        <w:tc>
          <w:tcPr>
            <w:tcW w:type="dxa" w:w="5703"/>
            <w:shd w:val="clear" w:color="auto" w:fill="DCE3EE"/>
          </w:tcPr>
          <w:p>
            <w:r>
              <w:rPr>
                <w:b/>
                <w:sz w:val="18"/>
              </w:rPr>
              <w:t>Onde</w:t>
            </w:r>
          </w:p>
        </w:tc>
      </w:tr>
      <w:tr>
        <w:tc>
          <w:tcPr>
            <w:tcW w:type="dxa" w:w="2489"/>
          </w:tcPr>
          <w:p>
            <w:r>
              <w:rPr>
                <w:sz w:val="18"/>
              </w:rPr>
              <w:t>Tratamento de erros</w:t>
            </w:r>
          </w:p>
        </w:tc>
        <w:tc>
          <w:tcPr>
            <w:tcW w:type="dxa" w:w="2965"/>
          </w:tcPr>
          <w:p>
            <w:r>
              <w:rPr>
                <w:sz w:val="18"/>
              </w:rPr>
              <w:t>Filtro global (</w:t>
            </w:r>
            <w:r>
              <w:rPr>
                <w:rFonts w:ascii="Consolas" w:hAnsi="Consolas"/>
                <w:sz w:val="18"/>
              </w:rPr>
              <w:t>FiltroExcecao</w:t>
            </w:r>
            <w:r>
              <w:rPr>
                <w:sz w:val="18"/>
              </w:rPr>
              <w:t xml:space="preserve">) mapeia </w:t>
            </w:r>
            <w:r>
              <w:rPr>
                <w:rFonts w:ascii="Consolas" w:hAnsi="Consolas"/>
                <w:sz w:val="18"/>
              </w:rPr>
              <w:t>ErroValidacaoException</w:t>
            </w:r>
            <w:r>
              <w:rPr>
                <w:sz w:val="18"/>
              </w:rPr>
              <w:t xml:space="preserve"> → 400, </w:t>
            </w:r>
            <w:r>
              <w:rPr>
                <w:rFonts w:ascii="Consolas" w:hAnsi="Consolas"/>
                <w:sz w:val="18"/>
              </w:rPr>
              <w:t>NaoAutenticadoException</w:t>
            </w:r>
            <w:r>
              <w:rPr>
                <w:sz w:val="18"/>
              </w:rPr>
              <w:t xml:space="preserve"> → 401, </w:t>
            </w:r>
            <w:r>
              <w:rPr>
                <w:rFonts w:ascii="Consolas" w:hAnsi="Consolas"/>
                <w:sz w:val="18"/>
              </w:rPr>
              <w:t>NaoEncontradoException</w:t>
            </w:r>
            <w:r>
              <w:rPr>
                <w:sz w:val="18"/>
              </w:rPr>
              <w:t xml:space="preserve"> → 404, </w:t>
            </w:r>
            <w:r>
              <w:rPr>
                <w:rFonts w:ascii="Consolas" w:hAnsi="Consolas"/>
                <w:sz w:val="18"/>
              </w:rPr>
              <w:t>RegraDeNegocioException</w:t>
            </w:r>
            <w:r>
              <w:rPr>
                <w:sz w:val="18"/>
              </w:rPr>
              <w:t xml:space="preserve"> → 422; exceção inesperada → 500 com mensagem genérica. JSON inválido também devolve o formato padrão</w:t>
            </w:r>
          </w:p>
        </w:tc>
        <w:tc>
          <w:tcPr>
            <w:tcW w:type="dxa" w:w="5703"/>
          </w:tcPr>
          <w:p>
            <w:r>
              <w:rPr>
                <w:rFonts w:ascii="Consolas" w:hAnsi="Consolas"/>
                <w:sz w:val="18"/>
              </w:rPr>
              <w:t>Gastra.Api/Filtros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Gastra.Exceptions</w:t>
            </w:r>
          </w:p>
        </w:tc>
      </w:tr>
      <w:tr>
        <w:tc>
          <w:tcPr>
            <w:tcW w:type="dxa" w:w="2489"/>
          </w:tcPr>
          <w:p>
            <w:r>
              <w:rPr>
                <w:sz w:val="18"/>
              </w:rPr>
              <w:t>Internacionalização</w:t>
            </w:r>
          </w:p>
        </w:tc>
        <w:tc>
          <w:tcPr>
            <w:tcW w:type="dxa" w:w="2965"/>
          </w:tcPr>
          <w:p>
            <w:r>
              <w:rPr>
                <w:rFonts w:ascii="Consolas" w:hAnsi="Consolas"/>
                <w:sz w:val="18"/>
              </w:rPr>
              <w:t>UseRequestLocalization</w:t>
            </w:r>
            <w:r>
              <w:rPr>
                <w:sz w:val="18"/>
              </w:rPr>
              <w:t xml:space="preserve"> com pt-BR (padrão) e en; mensagens em </w:t>
            </w:r>
            <w:r>
              <w:rPr>
                <w:rFonts w:ascii="Consolas" w:hAnsi="Consolas"/>
                <w:sz w:val="18"/>
              </w:rPr>
              <w:t>MensagensErro.resx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MensagensErro.en.resx</w:t>
            </w:r>
          </w:p>
        </w:tc>
        <w:tc>
          <w:tcPr>
            <w:tcW w:type="dxa" w:w="5703"/>
          </w:tcPr>
          <w:p>
            <w:r>
              <w:rPr>
                <w:rFonts w:ascii="Consolas" w:hAnsi="Consolas"/>
                <w:sz w:val="18"/>
              </w:rPr>
              <w:t>Program.cs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Gastra.Exceptions</w:t>
            </w:r>
          </w:p>
        </w:tc>
      </w:tr>
      <w:tr>
        <w:tc>
          <w:tcPr>
            <w:tcW w:type="dxa" w:w="2489"/>
          </w:tcPr>
          <w:p>
            <w:r>
              <w:rPr>
                <w:sz w:val="18"/>
              </w:rPr>
              <w:t>Injeção de dependência</w:t>
            </w:r>
          </w:p>
        </w:tc>
        <w:tc>
          <w:tcPr>
            <w:tcW w:type="dxa" w:w="2965"/>
          </w:tcPr>
          <w:p>
            <w:r>
              <w:rPr>
                <w:sz w:val="18"/>
              </w:rPr>
              <w:t xml:space="preserve">Contêiner nativo do ASP.NET Core; cada camada expõe </w:t>
            </w:r>
            <w:r>
              <w:rPr>
                <w:rFonts w:ascii="Consolas" w:hAnsi="Consolas"/>
                <w:sz w:val="18"/>
              </w:rPr>
              <w:t>AddApplication()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AddInfrastructure()</w:t>
            </w:r>
          </w:p>
        </w:tc>
        <w:tc>
          <w:tcPr>
            <w:tcW w:type="dxa" w:w="5703"/>
          </w:tcPr>
          <w:p>
            <w:r>
              <w:rPr>
                <w:rFonts w:ascii="Consolas" w:hAnsi="Consolas"/>
                <w:sz w:val="18"/>
              </w:rPr>
              <w:t>DependencyInjectionExtension.cs</w:t>
            </w:r>
          </w:p>
        </w:tc>
      </w:tr>
      <w:tr>
        <w:tc>
          <w:tcPr>
            <w:tcW w:type="dxa" w:w="2489"/>
          </w:tcPr>
          <w:p>
            <w:r>
              <w:rPr>
                <w:sz w:val="18"/>
              </w:rPr>
              <w:t>Mapeamento</w:t>
            </w:r>
          </w:p>
        </w:tc>
        <w:tc>
          <w:tcPr>
            <w:tcW w:type="dxa" w:w="2965"/>
          </w:tcPr>
          <w:p>
            <w:r>
              <w:rPr>
                <w:sz w:val="18"/>
              </w:rPr>
              <w:t xml:space="preserve">Mapster, com enums convertidos </w:t>
            </w:r>
            <w:r>
              <w:rPr>
                <w:b/>
                <w:sz w:val="18"/>
              </w:rPr>
              <w:t>pelo nome</w:t>
            </w:r>
            <w:r>
              <w:rPr>
                <w:sz w:val="18"/>
              </w:rPr>
              <w:t xml:space="preserve"> (reordenar um enum não troca valores)</w:t>
            </w:r>
          </w:p>
        </w:tc>
        <w:tc>
          <w:tcPr>
            <w:tcW w:type="dxa" w:w="5703"/>
          </w:tcPr>
          <w:p>
            <w:r>
              <w:rPr>
                <w:rFonts w:ascii="Consolas" w:hAnsi="Consolas"/>
                <w:sz w:val="18"/>
              </w:rPr>
              <w:t>Gastra.Application/Mapeamento</w:t>
            </w:r>
          </w:p>
        </w:tc>
      </w:tr>
      <w:tr>
        <w:tc>
          <w:tcPr>
            <w:tcW w:type="dxa" w:w="2489"/>
          </w:tcPr>
          <w:p>
            <w:r>
              <w:rPr>
                <w:sz w:val="18"/>
              </w:rPr>
              <w:t>Autenticação e autorização</w:t>
            </w:r>
          </w:p>
        </w:tc>
        <w:tc>
          <w:tcPr>
            <w:tcW w:type="dxa" w:w="2965"/>
          </w:tcPr>
          <w:p>
            <w:r>
              <w:rPr>
                <w:sz w:val="18"/>
              </w:rPr>
              <w:t>Seção 8</w:t>
            </w:r>
          </w:p>
        </w:tc>
        <w:tc>
          <w:tcPr>
            <w:tcW w:type="dxa" w:w="5703"/>
          </w:tcPr>
          <w:p>
            <w:r>
              <w:rPr>
                <w:rFonts w:ascii="Consolas" w:hAnsi="Consolas"/>
                <w:sz w:val="18"/>
              </w:rPr>
              <w:t>Gastra.Api/Configuracao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Gastra.Infrastructure/Seguranca</w:t>
            </w:r>
          </w:p>
        </w:tc>
      </w:tr>
      <w:tr>
        <w:tc>
          <w:tcPr>
            <w:tcW w:type="dxa" w:w="2489"/>
          </w:tcPr>
          <w:p>
            <w:r>
              <w:rPr>
                <w:sz w:val="18"/>
              </w:rPr>
              <w:t>Documentação da API</w:t>
            </w:r>
          </w:p>
        </w:tc>
        <w:tc>
          <w:tcPr>
            <w:tcW w:type="dxa" w:w="2965"/>
          </w:tcPr>
          <w:p>
            <w:r>
              <w:rPr>
                <w:sz w:val="18"/>
              </w:rPr>
              <w:t xml:space="preserve">Especificação OpenAPI gerada pelo ASP.NET Core e Swagger UI em </w:t>
            </w:r>
            <w:r>
              <w:rPr>
                <w:rFonts w:ascii="Consolas" w:hAnsi="Consolas"/>
                <w:sz w:val="18"/>
              </w:rPr>
              <w:t>/swagger</w:t>
            </w:r>
            <w:r>
              <w:rPr>
                <w:sz w:val="18"/>
              </w:rPr>
              <w:t>, só em desenvolvimento (PR #98)</w:t>
            </w:r>
          </w:p>
        </w:tc>
        <w:tc>
          <w:tcPr>
            <w:tcW w:type="dxa" w:w="5703"/>
          </w:tcPr>
          <w:p>
            <w:r>
              <w:rPr>
                <w:rFonts w:ascii="Consolas" w:hAnsi="Consolas"/>
                <w:sz w:val="18"/>
              </w:rPr>
              <w:t>Gastra.Api/Configuracao/DocumentacaoOpenApi.cs</w:t>
            </w:r>
          </w:p>
        </w:tc>
      </w:tr>
      <w:tr>
        <w:tc>
          <w:tcPr>
            <w:tcW w:type="dxa" w:w="2489"/>
          </w:tcPr>
          <w:p>
            <w:r>
              <w:rPr>
                <w:sz w:val="18"/>
              </w:rPr>
              <w:t>Saúde</w:t>
            </w:r>
          </w:p>
        </w:tc>
        <w:tc>
          <w:tcPr>
            <w:tcW w:type="dxa" w:w="2965"/>
          </w:tcPr>
          <w:p>
            <w:r>
              <w:rPr>
                <w:rFonts w:ascii="Consolas" w:hAnsi="Consolas"/>
                <w:sz w:val="18"/>
              </w:rPr>
              <w:t>GET /health</w:t>
            </w:r>
            <w:r>
              <w:rPr>
                <w:sz w:val="18"/>
              </w:rPr>
              <w:t xml:space="preserve"> responde </w:t>
            </w:r>
            <w:r>
              <w:rPr>
                <w:rFonts w:ascii="Consolas" w:hAnsi="Consolas"/>
                <w:sz w:val="18"/>
              </w:rPr>
              <w:t>Healthy</w:t>
            </w:r>
          </w:p>
        </w:tc>
        <w:tc>
          <w:tcPr>
            <w:tcW w:type="dxa" w:w="5703"/>
          </w:tcPr>
          <w:p>
            <w:r>
              <w:rPr>
                <w:rFonts w:ascii="Consolas" w:hAnsi="Consolas"/>
                <w:sz w:val="18"/>
              </w:rPr>
              <w:t>Program.cs</w:t>
            </w:r>
          </w:p>
        </w:tc>
      </w:tr>
    </w:tbl>
    <w:p/>
    <w:p>
      <w:pPr>
        <w:pStyle w:val="Heading2"/>
      </w:pPr>
      <w:r>
        <w:t>5. Camada analítica — Python</w:t>
      </w:r>
    </w:p>
    <w:p>
      <w:pPr>
        <w:pStyle w:val="Heading3"/>
      </w:pPr>
      <w:r>
        <w:t>5.1 Estrutura</w:t>
      </w:r>
    </w:p>
    <w:p>
      <w:r>
        <w:rPr>
          <w:rFonts w:ascii="Consolas" w:hAnsi="Consolas"/>
          <w:sz w:val="18"/>
        </w:rPr>
        <w:t>data-science/src/gastra_analitica/</w:t>
        <w:br/>
        <w:t>├── api/            # FastAPI: recebe a requisição, chama o algoritmo, devolve JSON</w:t>
        <w:br/>
        <w:t>├── recomendacao/   # 🔜 regras de associação e clusterização (mlxtend, scikit-learn, pandas)</w:t>
        <w:br/>
        <w:t>└── alocacao/       # 🔜 programação linear da alocação de garçons (PuLP + solver CBC)</w:t>
      </w:r>
    </w:p>
    <w:p>
      <w:r>
        <w:t xml:space="preserve">Os algoritmos </w:t>
      </w:r>
      <w:r>
        <w:rPr>
          <w:b/>
        </w:rPr>
        <w:t>não importam o FastAPI</w:t>
      </w:r>
      <w:r>
        <w:t xml:space="preserve">: são funções Python comuns, testáveis e reaproveitáveis nos notebooks do TG. </w:t>
      </w:r>
      <w:r>
        <w:rPr>
          <w:rFonts w:ascii="Consolas" w:hAnsi="Consolas"/>
        </w:rPr>
        <w:t>tests/test_arquitetura.py</w:t>
      </w:r>
      <w:r>
        <w:t xml:space="preserve"> verifica isso automaticamente.</w:t>
      </w:r>
    </w:p>
    <w:p>
      <w:pPr>
        <w:pStyle w:val="Heading3"/>
      </w:pPr>
      <w:r>
        <w:t>5.2 Integração com o backend 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50"/>
            <w:shd w:val="clear" w:color="auto" w:fill="DCE3EE"/>
          </w:tcPr>
          <w:p>
            <w:r>
              <w:rPr>
                <w:b/>
                <w:sz w:val="18"/>
              </w:rPr>
              <w:t>Uso</w:t>
            </w:r>
          </w:p>
        </w:tc>
        <w:tc>
          <w:tcPr>
            <w:tcW w:type="dxa" w:w="2444"/>
            <w:shd w:val="clear" w:color="auto" w:fill="DCE3EE"/>
          </w:tcPr>
          <w:p>
            <w:r>
              <w:rPr>
                <w:b/>
                <w:sz w:val="18"/>
              </w:rPr>
              <w:t>Quem chama</w:t>
            </w:r>
          </w:p>
        </w:tc>
        <w:tc>
          <w:tcPr>
            <w:tcW w:type="dxa" w:w="2996"/>
            <w:shd w:val="clear" w:color="auto" w:fill="DCE3EE"/>
          </w:tcPr>
          <w:p>
            <w:r>
              <w:rPr>
                <w:b/>
                <w:sz w:val="18"/>
              </w:rPr>
              <w:t>O que vai na requisição</w:t>
            </w:r>
          </w:p>
        </w:tc>
        <w:tc>
          <w:tcPr>
            <w:tcW w:type="dxa" w:w="1947"/>
            <w:shd w:val="clear" w:color="auto" w:fill="DCE3EE"/>
          </w:tcPr>
          <w:p>
            <w:r>
              <w:rPr>
                <w:b/>
                <w:sz w:val="18"/>
              </w:rPr>
              <w:t>O que volta</w:t>
            </w:r>
          </w:p>
        </w:tc>
      </w:tr>
      <w:tr>
        <w:tc>
          <w:tcPr>
            <w:tcW w:type="dxa" w:w="2250"/>
          </w:tcPr>
          <w:p>
            <w:r>
              <w:rPr>
                <w:sz w:val="18"/>
              </w:rPr>
              <w:t>Sugestão de alocação (RF06, RN03)</w:t>
            </w:r>
          </w:p>
        </w:tc>
        <w:tc>
          <w:tcPr>
            <w:tcW w:type="dxa" w:w="2444"/>
          </w:tcPr>
          <w:p>
            <w:r>
              <w:rPr>
                <w:sz w:val="18"/>
              </w:rPr>
              <w:t>Backend, quando o metre pede a sugestão</w:t>
            </w:r>
          </w:p>
        </w:tc>
        <w:tc>
          <w:tcPr>
            <w:tcW w:type="dxa" w:w="2996"/>
          </w:tcPr>
          <w:p>
            <w:r>
              <w:rPr>
                <w:sz w:val="18"/>
              </w:rPr>
              <w:t>Data, período, garçons e praças disponíveis no turno</w:t>
            </w:r>
          </w:p>
        </w:tc>
        <w:tc>
          <w:tcPr>
            <w:tcW w:type="dxa" w:w="1947"/>
          </w:tcPr>
          <w:p>
            <w:r>
              <w:rPr>
                <w:sz w:val="18"/>
              </w:rPr>
              <w:t>Pares garçom → praça</w:t>
            </w:r>
          </w:p>
        </w:tc>
      </w:tr>
      <w:tr>
        <w:tc>
          <w:tcPr>
            <w:tcW w:type="dxa" w:w="2250"/>
          </w:tcPr>
          <w:p>
            <w:r>
              <w:rPr>
                <w:sz w:val="18"/>
              </w:rPr>
              <w:t>Sugestão de pratos (RF09)</w:t>
            </w:r>
          </w:p>
        </w:tc>
        <w:tc>
          <w:tcPr>
            <w:tcW w:type="dxa" w:w="2444"/>
          </w:tcPr>
          <w:p>
            <w:r>
              <w:rPr>
                <w:sz w:val="18"/>
              </w:rPr>
              <w:t>Backend, quando o garçom lança itens</w:t>
            </w:r>
          </w:p>
        </w:tc>
        <w:tc>
          <w:tcPr>
            <w:tcW w:type="dxa" w:w="2996"/>
          </w:tcPr>
          <w:p>
            <w:r>
              <w:rPr>
                <w:sz w:val="18"/>
              </w:rPr>
              <w:t>Itens já pedidos na comanda</w:t>
            </w:r>
          </w:p>
        </w:tc>
        <w:tc>
          <w:tcPr>
            <w:tcW w:type="dxa" w:w="1947"/>
          </w:tcPr>
          <w:p>
            <w:r>
              <w:rPr>
                <w:sz w:val="18"/>
              </w:rPr>
              <w:t>Itens sugeridos</w:t>
            </w:r>
          </w:p>
        </w:tc>
      </w:tr>
    </w:tbl>
    <w:p/>
    <w:p>
      <w:pPr>
        <w:pStyle w:val="ListBullet"/>
      </w:pPr>
      <w:r>
        <w:t xml:space="preserve">O backend chama o serviço por meio de </w:t>
      </w:r>
      <w:r>
        <w:rPr>
          <w:rFonts w:ascii="Consolas" w:hAnsi="Consolas"/>
        </w:rPr>
        <w:t>IServicoAnalitico</w:t>
      </w:r>
      <w:r>
        <w:t xml:space="preserve"> (domínio), implementado por </w:t>
      </w:r>
      <w:r>
        <w:rPr>
          <w:rFonts w:ascii="Consolas" w:hAnsi="Consolas"/>
        </w:rPr>
        <w:t>ServicoAnaliticoHttp</w:t>
      </w:r>
      <w:r>
        <w:t xml:space="preserve"> (infraestrutura), com tempo limite curto.</w:t>
      </w:r>
    </w:p>
    <w:p>
      <w:pPr>
        <w:pStyle w:val="ListBullet"/>
      </w:pPr>
      <w:r>
        <w:rPr>
          <w:b/>
        </w:rPr>
        <w:t>O Python nunca grava.</w:t>
      </w:r>
      <w:r>
        <w:t xml:space="preserve"> O resultado volta ao backend, que valida e persiste (ex.: a alocação confirmada pelo metre, RF07).</w:t>
      </w:r>
    </w:p>
    <w:p>
      <w:pPr>
        <w:pStyle w:val="ListBullet"/>
      </w:pPr>
      <w:r>
        <w:rPr>
          <w:b/>
        </w:rPr>
        <w:t>Leitura do histórico (decisão D10):</w:t>
      </w:r>
      <w:r>
        <w:t xml:space="preserve"> o Python lê somente views analíticas, com um usuário MySQL que só tem permissão de </w:t>
      </w:r>
      <w:r>
        <w:rPr>
          <w:rFonts w:ascii="Consolas" w:hAnsi="Consolas"/>
        </w:rPr>
        <w:t>SELECT</w:t>
      </w:r>
      <w:r>
        <w:t xml:space="preserve"> nessas views. As views não expõem dado pessoal.</w:t>
      </w:r>
    </w:p>
    <w:p>
      <w:pPr>
        <w:pStyle w:val="ListBullet"/>
      </w:pPr>
      <w:r>
        <w:rPr>
          <w:b/>
        </w:rPr>
        <w:t>Solver da programação linear:</w:t>
      </w:r>
      <w:r>
        <w:t xml:space="preserve"> </w:t>
      </w:r>
      <w:r>
        <w:rPr>
          <w:rFonts w:ascii="Consolas" w:hAnsi="Consolas"/>
        </w:rPr>
        <w:t>pulp.COIN_CMD(path=cbcbox.cbc_bin_path())</w:t>
      </w:r>
      <w:r>
        <w:t>. O solver embutido antigo (</w:t>
      </w:r>
      <w:r>
        <w:rPr>
          <w:rFonts w:ascii="Consolas" w:hAnsi="Consolas"/>
        </w:rPr>
        <w:t>PULP_CBC_CMD</w:t>
      </w:r>
      <w:r>
        <w:t>) está obsoleto e será removido no PuLP 4.0.</w:t>
      </w:r>
    </w:p>
    <w:p>
      <w:pPr>
        <w:pStyle w:val="Heading2"/>
      </w:pPr>
      <w:r>
        <w:t>6. Frontend — Angular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41"/>
            <w:shd w:val="clear" w:color="auto" w:fill="DCE3E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801"/>
            <w:shd w:val="clear" w:color="auto" w:fill="DCE3EE"/>
          </w:tcPr>
          <w:p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1696"/>
            <w:shd w:val="clear" w:color="auto" w:fill="DCE3EE"/>
          </w:tcPr>
          <w:p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3141"/>
          </w:tcPr>
          <w:p>
            <w:r>
              <w:rPr>
                <w:sz w:val="18"/>
              </w:rPr>
              <w:t>Tipo de aplicação</w:t>
            </w:r>
          </w:p>
        </w:tc>
        <w:tc>
          <w:tcPr>
            <w:tcW w:type="dxa" w:w="4801"/>
          </w:tcPr>
          <w:p>
            <w:r>
              <w:rPr>
                <w:sz w:val="18"/>
              </w:rPr>
              <w:t xml:space="preserve">SPA com componentes </w:t>
            </w:r>
            <w:r>
              <w:rPr>
                <w:i/>
                <w:sz w:val="18"/>
              </w:rPr>
              <w:t>standalone</w:t>
            </w:r>
            <w:r>
              <w:rPr>
                <w:sz w:val="18"/>
              </w:rPr>
              <w:t>, SCSS e testes com Vitest</w:t>
            </w:r>
          </w:p>
        </w:tc>
        <w:tc>
          <w:tcPr>
            <w:tcW w:type="dxa" w:w="1696"/>
          </w:tcPr>
          <w:p>
            <w:r>
              <w:rPr>
                <w:sz w:val="18"/>
              </w:rPr>
              <w:t>✔ criado</w:t>
            </w:r>
          </w:p>
        </w:tc>
      </w:tr>
      <w:tr>
        <w:tc>
          <w:tcPr>
            <w:tcW w:type="dxa" w:w="3141"/>
          </w:tcPr>
          <w:p>
            <w:r>
              <w:rPr>
                <w:sz w:val="18"/>
              </w:rPr>
              <w:t>Organização</w:t>
            </w:r>
          </w:p>
        </w:tc>
        <w:tc>
          <w:tcPr>
            <w:tcW w:type="dxa" w:w="4801"/>
          </w:tcPr>
          <w:p>
            <w:r>
              <w:rPr>
                <w:sz w:val="18"/>
              </w:rPr>
              <w:t xml:space="preserve">Por módulo funcional: </w:t>
            </w:r>
            <w:r>
              <w:rPr>
                <w:rFonts w:ascii="Consolas" w:hAnsi="Consolas"/>
                <w:sz w:val="18"/>
              </w:rPr>
              <w:t>autenticacao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cardapio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comandas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alocacao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analises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cliente</w:t>
            </w:r>
            <w:r>
              <w:rPr>
                <w:sz w:val="18"/>
              </w:rPr>
              <w:t xml:space="preserve">, além de </w:t>
            </w:r>
            <w:r>
              <w:rPr>
                <w:rFonts w:ascii="Consolas" w:hAnsi="Consolas"/>
                <w:sz w:val="18"/>
              </w:rPr>
              <w:t>core</w:t>
            </w:r>
            <w:r>
              <w:rPr>
                <w:sz w:val="18"/>
              </w:rPr>
              <w:t xml:space="preserve"> (interceptador do token, guardas de rota por papel) e </w:t>
            </w:r>
            <w:r>
              <w:rPr>
                <w:rFonts w:ascii="Consolas" w:hAnsi="Consolas"/>
                <w:sz w:val="18"/>
              </w:rPr>
              <w:t>shared</w:t>
            </w:r>
            <w:r>
              <w:rPr>
                <w:sz w:val="18"/>
              </w:rPr>
              <w:t xml:space="preserve"> (componentes comuns) — issue #82</w:t>
            </w:r>
          </w:p>
        </w:tc>
        <w:tc>
          <w:tcPr>
            <w:tcW w:type="dxa" w:w="1696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3141"/>
          </w:tcPr>
          <w:p>
            <w:r>
              <w:rPr>
                <w:sz w:val="18"/>
              </w:rPr>
              <w:t>Comunicação</w:t>
            </w:r>
          </w:p>
        </w:tc>
        <w:tc>
          <w:tcPr>
            <w:tcW w:type="dxa" w:w="4801"/>
          </w:tcPr>
          <w:p>
            <w:r>
              <w:rPr>
                <w:sz w:val="18"/>
              </w:rPr>
              <w:t xml:space="preserve">Chamadas REST ao backend; um interceptador anexa o token JWT; erros exibidos a partir do formato </w:t>
            </w:r>
            <w:r>
              <w:rPr>
                <w:rFonts w:ascii="Consolas" w:hAnsi="Consolas"/>
                <w:sz w:val="18"/>
              </w:rPr>
              <w:t>{ erros: [...] }</w:t>
            </w:r>
          </w:p>
        </w:tc>
        <w:tc>
          <w:tcPr>
            <w:tcW w:type="dxa" w:w="1696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3141"/>
          </w:tcPr>
          <w:p>
            <w:r>
              <w:rPr>
                <w:sz w:val="18"/>
              </w:rPr>
              <w:t>Telas do garçom e metre</w:t>
            </w:r>
          </w:p>
        </w:tc>
        <w:tc>
          <w:tcPr>
            <w:tcW w:type="dxa" w:w="4801"/>
          </w:tcPr>
          <w:p>
            <w:r>
              <w:rPr>
                <w:i/>
                <w:sz w:val="18"/>
              </w:rPr>
              <w:t>Mobile first</w:t>
            </w:r>
            <w:r>
              <w:rPr>
                <w:sz w:val="18"/>
              </w:rPr>
              <w:t>: uso no celular, em pé, com pressa. RNF02: abrir mesa e lançar item em no máximo 5 toques</w:t>
            </w:r>
          </w:p>
        </w:tc>
        <w:tc>
          <w:tcPr>
            <w:tcW w:type="dxa" w:w="1696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3141"/>
          </w:tcPr>
          <w:p>
            <w:r>
              <w:rPr>
                <w:sz w:val="18"/>
              </w:rPr>
              <w:t>Telas do gerente</w:t>
            </w:r>
          </w:p>
        </w:tc>
        <w:tc>
          <w:tcPr>
            <w:tcW w:type="dxa" w:w="4801"/>
          </w:tcPr>
          <w:p>
            <w:r>
              <w:rPr>
                <w:sz w:val="18"/>
              </w:rPr>
              <w:t>Computador, com tabelas e dashboards de BI</w:t>
            </w:r>
          </w:p>
        </w:tc>
        <w:tc>
          <w:tcPr>
            <w:tcW w:type="dxa" w:w="1696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3141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4801"/>
          </w:tcPr>
          <w:p>
            <w:r>
              <w:rPr>
                <w:sz w:val="18"/>
              </w:rPr>
              <w:t>Cardápio digital e consulta da comanda, sem login</w:t>
            </w:r>
          </w:p>
        </w:tc>
        <w:tc>
          <w:tcPr>
            <w:tcW w:type="dxa" w:w="1696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3141"/>
          </w:tcPr>
          <w:p>
            <w:r>
              <w:rPr>
                <w:sz w:val="18"/>
              </w:rPr>
              <w:t>Prototipagem</w:t>
            </w:r>
          </w:p>
        </w:tc>
        <w:tc>
          <w:tcPr>
            <w:tcW w:type="dxa" w:w="4801"/>
          </w:tcPr>
          <w:p>
            <w:r>
              <w:rPr>
                <w:sz w:val="18"/>
              </w:rPr>
              <w:t>Figma, antes da implementação, avaliado pelas heurísticas de Nielsen (issues #47, #80, #99–#102)</w:t>
            </w:r>
          </w:p>
        </w:tc>
        <w:tc>
          <w:tcPr>
            <w:tcW w:type="dxa" w:w="1696"/>
          </w:tcPr>
          <w:p>
            <w:r>
              <w:rPr>
                <w:sz w:val="18"/>
              </w:rPr>
              <w:t>○</w:t>
            </w:r>
          </w:p>
        </w:tc>
      </w:tr>
    </w:tbl>
    <w:p/>
    <w:p>
      <w:pPr>
        <w:pStyle w:val="Heading2"/>
      </w:pPr>
      <w:r>
        <w:t>7. Banco de 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85"/>
            <w:shd w:val="clear" w:color="auto" w:fill="DCE3E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153"/>
            <w:shd w:val="clear" w:color="auto" w:fill="DCE3EE"/>
          </w:tcPr>
          <w:p>
            <w:r>
              <w:rPr>
                <w:b/>
                <w:sz w:val="18"/>
              </w:rPr>
              <w:t>Decisão</w:t>
            </w:r>
          </w:p>
        </w:tc>
      </w:tr>
      <w:tr>
        <w:tc>
          <w:tcPr>
            <w:tcW w:type="dxa" w:w="2485"/>
          </w:tcPr>
          <w:p>
            <w:r>
              <w:rPr>
                <w:sz w:val="18"/>
              </w:rPr>
              <w:t>SGBD</w:t>
            </w:r>
          </w:p>
        </w:tc>
        <w:tc>
          <w:tcPr>
            <w:tcW w:type="dxa" w:w="7153"/>
          </w:tcPr>
          <w:p>
            <w:r>
              <w:rPr>
                <w:sz w:val="18"/>
              </w:rPr>
              <w:t>MySQL 8.4, em contêiner Docker com volume persistente</w:t>
            </w:r>
          </w:p>
        </w:tc>
      </w:tr>
      <w:tr>
        <w:tc>
          <w:tcPr>
            <w:tcW w:type="dxa" w:w="2485"/>
          </w:tcPr>
          <w:p>
            <w:r>
              <w:rPr>
                <w:sz w:val="18"/>
              </w:rPr>
              <w:t>Criação do schema</w:t>
            </w:r>
          </w:p>
        </w:tc>
        <w:tc>
          <w:tcPr>
            <w:tcW w:type="dxa" w:w="7153"/>
          </w:tcPr>
          <w:p>
            <w:r>
              <w:rPr>
                <w:sz w:val="18"/>
              </w:rPr>
              <w:t xml:space="preserve">Migrations do EF Core (D5); o SQL completo fica em </w:t>
            </w:r>
            <w:r>
              <w:rPr>
                <w:rFonts w:ascii="Consolas" w:hAnsi="Consolas"/>
                <w:sz w:val="18"/>
              </w:rPr>
              <w:t>docs/modelagem/GASTRA_Schema.sql</w:t>
            </w:r>
            <w:r>
              <w:rPr>
                <w:sz w:val="18"/>
              </w:rPr>
              <w:t xml:space="preserve">, gerado com </w:t>
            </w:r>
            <w:r>
              <w:rPr>
                <w:rFonts w:ascii="Consolas" w:hAnsi="Consolas"/>
                <w:sz w:val="18"/>
              </w:rPr>
              <w:t>dotnet ef migrations script</w:t>
            </w:r>
          </w:p>
        </w:tc>
      </w:tr>
      <w:tr>
        <w:tc>
          <w:tcPr>
            <w:tcW w:type="dxa" w:w="2485"/>
          </w:tcPr>
          <w:p>
            <w:r>
              <w:rPr>
                <w:sz w:val="18"/>
              </w:rPr>
              <w:t>Convenções</w:t>
            </w:r>
          </w:p>
        </w:tc>
        <w:tc>
          <w:tcPr>
            <w:tcW w:type="dxa" w:w="7153"/>
          </w:tcPr>
          <w:p>
            <w:r>
              <w:rPr>
                <w:sz w:val="18"/>
              </w:rPr>
              <w:t xml:space="preserve">Tabelas e colunas em </w:t>
            </w:r>
            <w:r>
              <w:rPr>
                <w:rFonts w:ascii="Consolas" w:hAnsi="Consolas"/>
                <w:sz w:val="18"/>
              </w:rPr>
              <w:t>snake_case</w:t>
            </w:r>
            <w:r>
              <w:rPr>
                <w:sz w:val="18"/>
              </w:rPr>
              <w:t xml:space="preserve">; enums gravados como texto (legível em consultas de BI); valores monetários em </w:t>
            </w:r>
            <w:r>
              <w:rPr>
                <w:rFonts w:ascii="Consolas" w:hAnsi="Consolas"/>
                <w:sz w:val="18"/>
              </w:rPr>
              <w:t>decimal(10,2)</w:t>
            </w:r>
          </w:p>
        </w:tc>
      </w:tr>
      <w:tr>
        <w:tc>
          <w:tcPr>
            <w:tcW w:type="dxa" w:w="2485"/>
          </w:tcPr>
          <w:p>
            <w:r>
              <w:rPr>
                <w:sz w:val="18"/>
              </w:rPr>
              <w:t>Tabelas existentes ✔</w:t>
            </w:r>
          </w:p>
        </w:tc>
        <w:tc>
          <w:tcPr>
            <w:tcW w:type="dxa" w:w="7153"/>
          </w:tcPr>
          <w:p>
            <w:r>
              <w:rPr>
                <w:rFonts w:ascii="Consolas" w:hAnsi="Consolas"/>
                <w:sz w:val="18"/>
              </w:rPr>
              <w:t>item_cardapio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item_cardapio_flag</w:t>
            </w:r>
            <w:r>
              <w:rPr>
                <w:sz w:val="18"/>
              </w:rPr>
              <w:t xml:space="preserve"> (flags dietéticas em tabela própria, 1FN), </w:t>
            </w:r>
            <w:r>
              <w:rPr>
                <w:rFonts w:ascii="Consolas" w:hAnsi="Consolas"/>
                <w:sz w:val="18"/>
              </w:rPr>
              <w:t>usuario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praca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mesa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comanda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item_pedido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restricao_alimentar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alocacao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registro_auditoria</w:t>
            </w:r>
          </w:p>
        </w:tc>
      </w:tr>
      <w:tr>
        <w:tc>
          <w:tcPr>
            <w:tcW w:type="dxa" w:w="2485"/>
          </w:tcPr>
          <w:p>
            <w:r>
              <w:rPr>
                <w:sz w:val="18"/>
              </w:rPr>
              <w:t>Tabelas planejadas ○</w:t>
            </w:r>
          </w:p>
        </w:tc>
        <w:tc>
          <w:tcPr>
            <w:tcW w:type="dxa" w:w="7153"/>
          </w:tcPr>
          <w:p>
            <w:r>
              <w:rPr>
                <w:sz w:val="18"/>
              </w:rPr>
              <w:t>promoção e a tabela associativa com o item do cardápio</w:t>
            </w:r>
          </w:p>
        </w:tc>
      </w:tr>
      <w:tr>
        <w:tc>
          <w:tcPr>
            <w:tcW w:type="dxa" w:w="2485"/>
          </w:tcPr>
          <w:p>
            <w:r>
              <w:rPr>
                <w:b/>
                <w:sz w:val="18"/>
              </w:rPr>
              <w:t>Views</w:t>
            </w:r>
            <w:r>
              <w:rPr>
                <w:sz w:val="18"/>
              </w:rPr>
              <w:t xml:space="preserve"> ✔</w:t>
            </w:r>
          </w:p>
        </w:tc>
        <w:tc>
          <w:tcPr>
            <w:tcW w:type="dxa" w:w="7153"/>
          </w:tcPr>
          <w:p>
            <w:r>
              <w:rPr>
                <w:sz w:val="18"/>
              </w:rPr>
              <w:t xml:space="preserve">Leitura para BI e para o Python, sem dado pessoal: faturamento por comanda, por praça e turno, faturamento médio por praça (atributo derivado, nunca armazenado), bases do índice de desempenho do garçom, faturamento por item e itens por comanda. O índice em si é calculado na aplicação, porque tem pesos e depende do período escolhido. Lista e justificativas em </w:t>
            </w:r>
            <w:r>
              <w:rPr>
                <w:rFonts w:ascii="Consolas" w:hAnsi="Consolas"/>
                <w:sz w:val="18"/>
              </w:rPr>
              <w:t>docs/modelagem/GASTRA_Objetos_Banco.md</w:t>
            </w:r>
          </w:p>
        </w:tc>
      </w:tr>
      <w:tr>
        <w:tc>
          <w:tcPr>
            <w:tcW w:type="dxa" w:w="2485"/>
          </w:tcPr>
          <w:p>
            <w:r>
              <w:rPr>
                <w:b/>
                <w:sz w:val="18"/>
              </w:rPr>
              <w:t>Triggers</w:t>
            </w:r>
            <w:r>
              <w:rPr>
                <w:sz w:val="18"/>
              </w:rPr>
              <w:t xml:space="preserve"> ✔</w:t>
            </w:r>
          </w:p>
        </w:tc>
        <w:tc>
          <w:tcPr>
            <w:tcW w:type="dxa" w:w="7153"/>
          </w:tcPr>
          <w:p>
            <w:r>
              <w:rPr>
                <w:sz w:val="18"/>
              </w:rPr>
              <w:t xml:space="preserve">Só para proteger a tabela de auditoria: impedir </w:t>
            </w:r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DELETE</w:t>
            </w:r>
          </w:p>
        </w:tc>
      </w:tr>
      <w:tr>
        <w:tc>
          <w:tcPr>
            <w:tcW w:type="dxa" w:w="2485"/>
          </w:tcPr>
          <w:p>
            <w:r>
              <w:rPr>
                <w:b/>
                <w:sz w:val="18"/>
              </w:rPr>
              <w:t>Stored procedures</w:t>
            </w:r>
          </w:p>
        </w:tc>
        <w:tc>
          <w:tcPr>
            <w:tcW w:type="dxa" w:w="7153"/>
          </w:tcPr>
          <w:p>
            <w:r>
              <w:rPr>
                <w:sz w:val="18"/>
              </w:rPr>
              <w:t>Não usadas (D6)</w:t>
            </w:r>
          </w:p>
        </w:tc>
      </w:tr>
    </w:tbl>
    <w:p/>
    <w:p>
      <w:r>
        <w:rPr>
          <w:b/>
        </w:rPr>
        <w:t>Por que a auditoria é gravada pela aplicação e não por trigger:</w:t>
      </w:r>
      <w:r>
        <w:t xml:space="preserve"> um trigger não sabe </w:t>
      </w:r>
      <w:r>
        <w:rPr>
          <w:i/>
        </w:rPr>
        <w:t>quem</w:t>
      </w:r>
      <w:r>
        <w:t xml:space="preserve"> fez a alteração nem </w:t>
      </w:r>
      <w:r>
        <w:rPr>
          <w:i/>
        </w:rPr>
        <w:t>por qual</w:t>
      </w:r>
      <w:r>
        <w:t xml:space="preserve"> caso de uso — a aplicação sabe. O trigger entra só como segunda barreira, garantindo que o registro de auditoria não seja alterado depois (</w:t>
      </w:r>
      <w:r>
        <w:rPr>
          <w:rFonts w:ascii="Consolas" w:hAnsi="Consolas"/>
        </w:rPr>
        <w:t>GASTRA_Politica_Log_Auditoria.md</w:t>
      </w:r>
      <w:r>
        <w:t>, seção 8).</w:t>
      </w:r>
    </w:p>
    <w:p>
      <w:pPr>
        <w:pStyle w:val="Heading2"/>
      </w:pPr>
      <w:r>
        <w:t>8. Segurança e LGPD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37"/>
            <w:shd w:val="clear" w:color="auto" w:fill="DCE3EE"/>
          </w:tcPr>
          <w:p>
            <w:r>
              <w:rPr>
                <w:b/>
                <w:sz w:val="18"/>
              </w:rPr>
              <w:t>Tema</w:t>
            </w:r>
          </w:p>
        </w:tc>
        <w:tc>
          <w:tcPr>
            <w:tcW w:type="dxa" w:w="5570"/>
            <w:shd w:val="clear" w:color="auto" w:fill="DCE3EE"/>
          </w:tcPr>
          <w:p>
            <w:r>
              <w:rPr>
                <w:b/>
                <w:sz w:val="18"/>
              </w:rPr>
              <w:t>Implementação</w:t>
            </w:r>
          </w:p>
        </w:tc>
        <w:tc>
          <w:tcPr>
            <w:tcW w:type="dxa" w:w="1431"/>
            <w:shd w:val="clear" w:color="auto" w:fill="DCE3EE"/>
          </w:tcPr>
          <w:p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637"/>
          </w:tcPr>
          <w:p>
            <w:r>
              <w:rPr>
                <w:sz w:val="18"/>
              </w:rPr>
              <w:t>Senhas (RN06)</w:t>
            </w:r>
          </w:p>
        </w:tc>
        <w:tc>
          <w:tcPr>
            <w:tcW w:type="dxa" w:w="5570"/>
          </w:tcPr>
          <w:p>
            <w:r>
              <w:rPr>
                <w:sz w:val="18"/>
              </w:rPr>
              <w:t>Hash BCrypt, fator de custo 12; senha entre 8 caracteres e 72 bytes (limite do BCrypt)</w:t>
            </w:r>
          </w:p>
        </w:tc>
        <w:tc>
          <w:tcPr>
            <w:tcW w:type="dxa" w:w="1431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637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5570"/>
          </w:tcPr>
          <w:p>
            <w:r>
              <w:rPr>
                <w:sz w:val="18"/>
              </w:rPr>
              <w:t>Mesma mensagem e mesmo tempo de resposta para e-mail inexistente e senha errada (evita descobrir e-mails cadastrados)</w:t>
            </w:r>
          </w:p>
        </w:tc>
        <w:tc>
          <w:tcPr>
            <w:tcW w:type="dxa" w:w="1431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637"/>
          </w:tcPr>
          <w:p>
            <w:r>
              <w:rPr>
                <w:sz w:val="18"/>
              </w:rPr>
              <w:t>Segundo fator (RF16, RN07)</w:t>
            </w:r>
          </w:p>
        </w:tc>
        <w:tc>
          <w:tcPr>
            <w:tcW w:type="dxa" w:w="5570"/>
          </w:tcPr>
          <w:p>
            <w:r>
              <w:rPr>
                <w:sz w:val="18"/>
              </w:rPr>
              <w:t xml:space="preserve">TOTP de 6 dígitos (RFC 6238) para Gerente e Coordenador; o segredo é gerado uma única vez e gravado </w:t>
            </w:r>
            <w:r>
              <w:rPr>
                <w:b/>
                <w:sz w:val="18"/>
              </w:rPr>
              <w:t>criptografado</w:t>
            </w:r>
            <w:r>
              <w:rPr>
                <w:sz w:val="18"/>
              </w:rPr>
              <w:t xml:space="preserve"> (ASP.NET Data Protection)</w:t>
            </w:r>
          </w:p>
        </w:tc>
        <w:tc>
          <w:tcPr>
            <w:tcW w:type="dxa" w:w="1431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637"/>
          </w:tcPr>
          <w:p>
            <w:r>
              <w:rPr>
                <w:sz w:val="18"/>
              </w:rPr>
              <w:t>Token de acesso</w:t>
            </w:r>
          </w:p>
        </w:tc>
        <w:tc>
          <w:tcPr>
            <w:tcW w:type="dxa" w:w="5570"/>
          </w:tcPr>
          <w:p>
            <w:r>
              <w:rPr>
                <w:sz w:val="18"/>
              </w:rPr>
              <w:t>JWT assinado, válido por 8 horas. Na etapa do segundo fator, um token de 5 minutos com audiência própria, que não abre nenhum endpoint</w:t>
            </w:r>
          </w:p>
        </w:tc>
        <w:tc>
          <w:tcPr>
            <w:tcW w:type="dxa" w:w="1431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637"/>
          </w:tcPr>
          <w:p>
            <w:r>
              <w:rPr>
                <w:sz w:val="18"/>
              </w:rPr>
              <w:t>Logoff e inativação imediatos</w:t>
            </w:r>
          </w:p>
        </w:tc>
        <w:tc>
          <w:tcPr>
            <w:tcW w:type="dxa" w:w="5570"/>
          </w:tcPr>
          <w:p>
            <w:r>
              <w:rPr>
                <w:sz w:val="18"/>
              </w:rPr>
              <w:t xml:space="preserve">Cada usuário tem uma </w:t>
            </w:r>
            <w:r>
              <w:rPr>
                <w:rFonts w:ascii="Consolas" w:hAnsi="Consolas"/>
                <w:sz w:val="18"/>
              </w:rPr>
              <w:t>chave_sessao</w:t>
            </w:r>
            <w:r>
              <w:rPr>
                <w:sz w:val="18"/>
              </w:rPr>
              <w:t xml:space="preserve"> que vai no token e é conferida a cada requisição. Logoff, inativação e troca de papel trocam a chave</w:t>
            </w:r>
          </w:p>
        </w:tc>
        <w:tc>
          <w:tcPr>
            <w:tcW w:type="dxa" w:w="1431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637"/>
          </w:tcPr>
          <w:p>
            <w:r>
              <w:rPr>
                <w:sz w:val="18"/>
              </w:rPr>
              <w:t>Autorização por papel (RNF04)</w:t>
            </w:r>
          </w:p>
        </w:tc>
        <w:tc>
          <w:tcPr>
            <w:tcW w:type="dxa" w:w="5570"/>
          </w:tcPr>
          <w:p>
            <w:r>
              <w:rPr>
                <w:rFonts w:ascii="Consolas" w:hAnsi="Consolas"/>
                <w:sz w:val="18"/>
              </w:rPr>
              <w:t>[Authorize(Roles = ...)]</w:t>
            </w:r>
            <w:r>
              <w:rPr>
                <w:sz w:val="18"/>
              </w:rPr>
              <w:t xml:space="preserve"> em cada controller; endpoints do cliente marcados como públicos</w:t>
            </w:r>
          </w:p>
        </w:tc>
        <w:tc>
          <w:tcPr>
            <w:tcW w:type="dxa" w:w="1431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637"/>
          </w:tcPr>
          <w:p>
            <w:r>
              <w:rPr>
                <w:sz w:val="18"/>
              </w:rPr>
              <w:t>Segredos</w:t>
            </w:r>
          </w:p>
        </w:tc>
        <w:tc>
          <w:tcPr>
            <w:tcW w:type="dxa" w:w="5570"/>
          </w:tcPr>
          <w:p>
            <w:r>
              <w:rPr>
                <w:sz w:val="18"/>
              </w:rPr>
              <w:t xml:space="preserve">Chave JWT, senha do banco e administrador inicial ficam em </w:t>
            </w:r>
            <w:r>
              <w:rPr>
                <w:rFonts w:ascii="Consolas" w:hAnsi="Consolas"/>
                <w:sz w:val="18"/>
              </w:rPr>
              <w:t>appsettings.Development.json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.env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fora do Git</w:t>
            </w:r>
          </w:p>
        </w:tc>
        <w:tc>
          <w:tcPr>
            <w:tcW w:type="dxa" w:w="1431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637"/>
          </w:tcPr>
          <w:p>
            <w:r>
              <w:rPr>
                <w:sz w:val="18"/>
              </w:rPr>
              <w:t>Log e auditoria (RNF03, RN04, RN05)</w:t>
            </w:r>
          </w:p>
        </w:tc>
        <w:tc>
          <w:tcPr>
            <w:tcW w:type="dxa" w:w="5570"/>
          </w:tcPr>
          <w:p>
            <w:r>
              <w:rPr>
                <w:sz w:val="18"/>
              </w:rPr>
              <w:t xml:space="preserve">Conforme </w:t>
            </w:r>
            <w:r>
              <w:rPr>
                <w:rFonts w:ascii="Consolas" w:hAnsi="Consolas"/>
                <w:sz w:val="18"/>
              </w:rPr>
              <w:t>GASTRA_Politica_Log_Auditoria.md</w:t>
            </w:r>
            <w:r>
              <w:rPr>
                <w:sz w:val="18"/>
              </w:rPr>
              <w:t>: auditoria por 6 meses, log técnico por 30 dias, IP só no login, restrição alimentar tratada como dado sensível e nunca registrada em log</w:t>
            </w:r>
          </w:p>
        </w:tc>
        <w:tc>
          <w:tcPr>
            <w:tcW w:type="dxa" w:w="1431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2637"/>
          </w:tcPr>
          <w:p>
            <w:r>
              <w:rPr>
                <w:sz w:val="18"/>
              </w:rPr>
              <w:t>Restrição alimentar (RF14)</w:t>
            </w:r>
          </w:p>
        </w:tc>
        <w:tc>
          <w:tcPr>
            <w:tcW w:type="dxa" w:w="5570"/>
          </w:tcPr>
          <w:p>
            <w:r>
              <w:rPr>
                <w:sz w:val="18"/>
              </w:rPr>
              <w:t>Vinculada só à comanda ativa; ao fechar a comanda, a observação livre é apagada e fica apenas a contagem por categoria</w:t>
            </w:r>
          </w:p>
        </w:tc>
        <w:tc>
          <w:tcPr>
            <w:tcW w:type="dxa" w:w="1431"/>
          </w:tcPr>
          <w:p>
            <w:r>
              <w:rPr>
                <w:sz w:val="18"/>
              </w:rPr>
              <w:t>○</w:t>
            </w:r>
          </w:p>
        </w:tc>
      </w:tr>
    </w:tbl>
    <w:p/>
    <w:p>
      <w:pPr>
        <w:pStyle w:val="Heading3"/>
      </w:pPr>
      <w:r>
        <w:t>8.1 OWASP Top 10 como referência</w:t>
      </w:r>
    </w:p>
    <w:p>
      <w:r>
        <w:t>O OWASP Top 10 não é uma ferramenta a instalar: é a lista de riscos usada para revisar o sistema.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61"/>
            <w:shd w:val="clear" w:color="auto" w:fill="DCE3EE"/>
          </w:tcPr>
          <w:p>
            <w:r>
              <w:rPr>
                <w:b/>
                <w:sz w:val="18"/>
              </w:rPr>
              <w:t>Risco (OWASP Top 10, 2021)</w:t>
            </w:r>
          </w:p>
        </w:tc>
        <w:tc>
          <w:tcPr>
            <w:tcW w:type="dxa" w:w="4977"/>
            <w:shd w:val="clear" w:color="auto" w:fill="DCE3EE"/>
          </w:tcPr>
          <w:p>
            <w:r>
              <w:rPr>
                <w:b/>
                <w:sz w:val="18"/>
              </w:rPr>
              <w:t>Como o GASTRA trata</w:t>
            </w:r>
          </w:p>
        </w:tc>
      </w:tr>
      <w:tr>
        <w:tc>
          <w:tcPr>
            <w:tcW w:type="dxa" w:w="4661"/>
          </w:tcPr>
          <w:p>
            <w:r>
              <w:rPr>
                <w:sz w:val="18"/>
              </w:rPr>
              <w:t>A01 Quebra de controle de acesso</w:t>
            </w:r>
          </w:p>
        </w:tc>
        <w:tc>
          <w:tcPr>
            <w:tcW w:type="dxa" w:w="4977"/>
          </w:tcPr>
          <w:p>
            <w:r>
              <w:rPr>
                <w:sz w:val="18"/>
              </w:rPr>
              <w:t>Autorização por papel em todo controller; chave de sessão invalida tokens na hora</w:t>
            </w:r>
          </w:p>
        </w:tc>
      </w:tr>
      <w:tr>
        <w:tc>
          <w:tcPr>
            <w:tcW w:type="dxa" w:w="4661"/>
          </w:tcPr>
          <w:p>
            <w:r>
              <w:rPr>
                <w:sz w:val="18"/>
              </w:rPr>
              <w:t>A02 Falhas criptográficas</w:t>
            </w:r>
          </w:p>
        </w:tc>
        <w:tc>
          <w:tcPr>
            <w:tcW w:type="dxa" w:w="4977"/>
          </w:tcPr>
          <w:p>
            <w:r>
              <w:rPr>
                <w:sz w:val="18"/>
              </w:rPr>
              <w:t>BCrypt nas senhas; segredo TOTP criptografado; HTTPS</w:t>
            </w:r>
          </w:p>
        </w:tc>
      </w:tr>
      <w:tr>
        <w:tc>
          <w:tcPr>
            <w:tcW w:type="dxa" w:w="4661"/>
          </w:tcPr>
          <w:p>
            <w:r>
              <w:rPr>
                <w:sz w:val="18"/>
              </w:rPr>
              <w:t>A03 Injeção</w:t>
            </w:r>
          </w:p>
        </w:tc>
        <w:tc>
          <w:tcPr>
            <w:tcW w:type="dxa" w:w="4977"/>
          </w:tcPr>
          <w:p>
            <w:r>
              <w:rPr>
                <w:sz w:val="18"/>
              </w:rPr>
              <w:t>Acesso ao banco só pelo EF Core, com consultas parametrizadas</w:t>
            </w:r>
          </w:p>
        </w:tc>
      </w:tr>
      <w:tr>
        <w:tc>
          <w:tcPr>
            <w:tcW w:type="dxa" w:w="4661"/>
          </w:tcPr>
          <w:p>
            <w:r>
              <w:rPr>
                <w:sz w:val="18"/>
              </w:rPr>
              <w:t>A05 Configuração incorreta</w:t>
            </w:r>
          </w:p>
        </w:tc>
        <w:tc>
          <w:tcPr>
            <w:tcW w:type="dxa" w:w="4977"/>
          </w:tcPr>
          <w:p>
            <w:r>
              <w:rPr>
                <w:sz w:val="18"/>
              </w:rPr>
              <w:t>Segredos fora do Git; Swagger desativado fora do desenvolvimento</w:t>
            </w:r>
          </w:p>
        </w:tc>
      </w:tr>
      <w:tr>
        <w:tc>
          <w:tcPr>
            <w:tcW w:type="dxa" w:w="4661"/>
          </w:tcPr>
          <w:p>
            <w:r>
              <w:rPr>
                <w:sz w:val="18"/>
              </w:rPr>
              <w:t>A07 Falhas de identificação e autenticação</w:t>
            </w:r>
          </w:p>
        </w:tc>
        <w:tc>
          <w:tcPr>
            <w:tcW w:type="dxa" w:w="4977"/>
          </w:tcPr>
          <w:p>
            <w:r>
              <w:rPr>
                <w:sz w:val="18"/>
              </w:rPr>
              <w:t>Segundo fator para perfis de gestão; mensagem única no login; tempo de resposta constante</w:t>
            </w:r>
          </w:p>
        </w:tc>
      </w:tr>
      <w:tr>
        <w:tc>
          <w:tcPr>
            <w:tcW w:type="dxa" w:w="4661"/>
          </w:tcPr>
          <w:p>
            <w:r>
              <w:rPr>
                <w:sz w:val="18"/>
              </w:rPr>
              <w:t>A09 Falhas de log e monitoramento</w:t>
            </w:r>
          </w:p>
        </w:tc>
        <w:tc>
          <w:tcPr>
            <w:tcW w:type="dxa" w:w="4977"/>
          </w:tcPr>
          <w:p>
            <w:r>
              <w:rPr>
                <w:sz w:val="18"/>
              </w:rPr>
              <w:t>Política de log e auditoria definida</w:t>
            </w:r>
          </w:p>
        </w:tc>
      </w:tr>
    </w:tbl>
    <w:p/>
    <w:p>
      <w:pPr>
        <w:pStyle w:val="Heading2"/>
      </w:pPr>
      <w:r>
        <w:t>9. Qualidade e testes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91"/>
            <w:shd w:val="clear" w:color="auto" w:fill="DCE3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3331"/>
            <w:shd w:val="clear" w:color="auto" w:fill="DCE3EE"/>
          </w:tcPr>
          <w:p>
            <w:r>
              <w:rPr>
                <w:b/>
                <w:sz w:val="18"/>
              </w:rPr>
              <w:t>Ferramenta</w:t>
            </w:r>
          </w:p>
        </w:tc>
        <w:tc>
          <w:tcPr>
            <w:tcW w:type="dxa" w:w="2140"/>
            <w:shd w:val="clear" w:color="auto" w:fill="DCE3EE"/>
          </w:tcPr>
          <w:p>
            <w:r>
              <w:rPr>
                <w:b/>
                <w:sz w:val="18"/>
              </w:rPr>
              <w:t>O que cobre</w:t>
            </w:r>
          </w:p>
        </w:tc>
        <w:tc>
          <w:tcPr>
            <w:tcW w:type="dxa" w:w="2375"/>
            <w:shd w:val="clear" w:color="auto" w:fill="DCE3EE"/>
          </w:tcPr>
          <w:p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1791"/>
          </w:tcPr>
          <w:p>
            <w:r>
              <w:rPr>
                <w:sz w:val="18"/>
              </w:rPr>
              <w:t>Unitário de domínio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xUnit (</w:t>
            </w:r>
            <w:r>
              <w:rPr>
                <w:rFonts w:ascii="Consolas" w:hAnsi="Consolas"/>
                <w:sz w:val="18"/>
              </w:rPr>
              <w:t>Gastra.Domain.Tests</w:t>
            </w:r>
            <w:r>
              <w:rPr>
                <w:sz w:val="18"/>
              </w:rPr>
              <w:t>)</w:t>
            </w:r>
          </w:p>
        </w:tc>
        <w:tc>
          <w:tcPr>
            <w:tcW w:type="dxa" w:w="2140"/>
          </w:tcPr>
          <w:p>
            <w:r>
              <w:rPr>
                <w:sz w:val="18"/>
              </w:rPr>
              <w:t>Regras das entidades sem banco nem HTTP</w:t>
            </w:r>
          </w:p>
        </w:tc>
        <w:tc>
          <w:tcPr>
            <w:tcW w:type="dxa" w:w="237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91"/>
          </w:tcPr>
          <w:p>
            <w:r>
              <w:rPr>
                <w:sz w:val="18"/>
              </w:rPr>
              <w:t>Integração da API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 xml:space="preserve">xUnit + </w:t>
            </w:r>
            <w:r>
              <w:rPr>
                <w:rFonts w:ascii="Consolas" w:hAnsi="Consolas"/>
                <w:sz w:val="18"/>
              </w:rPr>
              <w:t>WebApplicationFactory</w:t>
            </w:r>
            <w:r>
              <w:rPr>
                <w:sz w:val="18"/>
              </w:rPr>
              <w:t xml:space="preserve"> + EF Core InMemory (</w:t>
            </w:r>
            <w:r>
              <w:rPr>
                <w:rFonts w:ascii="Consolas" w:hAnsi="Consolas"/>
                <w:sz w:val="18"/>
              </w:rPr>
              <w:t>Gastra.Api.Tests</w:t>
            </w:r>
            <w:r>
              <w:rPr>
                <w:sz w:val="18"/>
              </w:rPr>
              <w:t>)</w:t>
            </w:r>
          </w:p>
        </w:tc>
        <w:tc>
          <w:tcPr>
            <w:tcW w:type="dxa" w:w="2140"/>
          </w:tcPr>
          <w:p>
            <w:r>
              <w:rPr>
                <w:sz w:val="18"/>
              </w:rPr>
              <w:t>Requisições reais de ponta a ponta: status, mensagens, permissões, 2FA</w:t>
            </w:r>
          </w:p>
        </w:tc>
        <w:tc>
          <w:tcPr>
            <w:tcW w:type="dxa" w:w="237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91"/>
          </w:tcPr>
          <w:p>
            <w:r>
              <w:rPr>
                <w:sz w:val="18"/>
              </w:rPr>
              <w:t>Arquitetura</w:t>
            </w:r>
          </w:p>
        </w:tc>
        <w:tc>
          <w:tcPr>
            <w:tcW w:type="dxa" w:w="3331"/>
          </w:tcPr>
          <w:p>
            <w:r>
              <w:rPr>
                <w:rFonts w:ascii="Consolas" w:hAnsi="Consolas"/>
                <w:sz w:val="18"/>
              </w:rPr>
              <w:t>ArquiteturaTests</w:t>
            </w:r>
            <w:r>
              <w:rPr>
                <w:sz w:val="18"/>
              </w:rPr>
              <w:t xml:space="preserve"> (C#) e </w:t>
            </w:r>
            <w:r>
              <w:rPr>
                <w:rFonts w:ascii="Consolas" w:hAnsi="Consolas"/>
                <w:sz w:val="18"/>
              </w:rPr>
              <w:t>test_arquitetura.py</w:t>
            </w:r>
            <w:r>
              <w:rPr>
                <w:sz w:val="18"/>
              </w:rPr>
              <w:t xml:space="preserve"> (Python)</w:t>
            </w:r>
          </w:p>
        </w:tc>
        <w:tc>
          <w:tcPr>
            <w:tcW w:type="dxa" w:w="2140"/>
          </w:tcPr>
          <w:p>
            <w:r>
              <w:rPr>
                <w:sz w:val="18"/>
              </w:rPr>
              <w:t>Regra de dependência entre camadas</w:t>
            </w:r>
          </w:p>
        </w:tc>
        <w:tc>
          <w:tcPr>
            <w:tcW w:type="dxa" w:w="237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91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2140"/>
          </w:tcPr>
          <w:p>
            <w:r>
              <w:rPr>
                <w:sz w:val="18"/>
              </w:rPr>
              <w:t>Serviço FastAPI; ○ algoritmos</w:t>
            </w:r>
          </w:p>
        </w:tc>
        <w:tc>
          <w:tcPr>
            <w:tcW w:type="dxa" w:w="2375"/>
          </w:tcPr>
          <w:p>
            <w:r>
              <w:rPr>
                <w:sz w:val="18"/>
              </w:rPr>
              <w:t>✔ / ○</w:t>
            </w:r>
          </w:p>
        </w:tc>
      </w:tr>
      <w:tr>
        <w:tc>
          <w:tcPr>
            <w:tcW w:type="dxa" w:w="179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2140"/>
          </w:tcPr>
          <w:p>
            <w:r>
              <w:rPr>
                <w:sz w:val="18"/>
              </w:rPr>
              <w:t>○ componentes e serviços</w:t>
            </w:r>
          </w:p>
        </w:tc>
        <w:tc>
          <w:tcPr>
            <w:tcW w:type="dxa" w:w="2375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1791"/>
          </w:tcPr>
          <w:p>
            <w:r>
              <w:rPr>
                <w:sz w:val="18"/>
              </w:rPr>
              <w:t>Análise estática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SonarCloud</w:t>
            </w:r>
          </w:p>
        </w:tc>
        <w:tc>
          <w:tcPr>
            <w:tcW w:type="dxa" w:w="2140"/>
          </w:tcPr>
          <w:p>
            <w:r>
              <w:rPr>
                <w:sz w:val="18"/>
              </w:rPr>
              <w:t>Qualidade e duplicação de código</w:t>
            </w:r>
          </w:p>
        </w:tc>
        <w:tc>
          <w:tcPr>
            <w:tcW w:type="dxa" w:w="2375"/>
          </w:tcPr>
          <w:p>
            <w:r>
              <w:rPr>
                <w:sz w:val="18"/>
              </w:rPr>
              <w:t>○ no fim do desenvolvimento</w:t>
            </w:r>
          </w:p>
        </w:tc>
      </w:tr>
    </w:tbl>
    <w:p/>
    <w:p>
      <w:pPr>
        <w:pStyle w:val="Heading2"/>
      </w:pPr>
      <w:r>
        <w:t>10. Tecnologias e justificativas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755"/>
            <w:shd w:val="clear" w:color="auto" w:fill="DCE3EE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1324"/>
            <w:shd w:val="clear" w:color="auto" w:fill="DCE3EE"/>
          </w:tcPr>
          <w:p>
            <w:r>
              <w:rPr>
                <w:b/>
                <w:sz w:val="18"/>
              </w:rPr>
              <w:t>Versão</w:t>
            </w:r>
          </w:p>
        </w:tc>
        <w:tc>
          <w:tcPr>
            <w:tcW w:type="dxa" w:w="2229"/>
            <w:shd w:val="clear" w:color="auto" w:fill="DCE3EE"/>
          </w:tcPr>
          <w:p>
            <w:r>
              <w:rPr>
                <w:b/>
                <w:sz w:val="18"/>
              </w:rPr>
              <w:t>Camada</w:t>
            </w:r>
          </w:p>
        </w:tc>
        <w:tc>
          <w:tcPr>
            <w:tcW w:type="dxa" w:w="3329"/>
            <w:shd w:val="clear" w:color="auto" w:fill="DCE3EE"/>
          </w:tcPr>
          <w:p>
            <w:r>
              <w:rPr>
                <w:b/>
                <w:sz w:val="18"/>
              </w:rPr>
              <w:t>Por que no GASTRA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ASP.NET Core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.NET 10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Definido no projeto de pesquisa; tipagem forte protege as regras de negócio (RN01–RN07)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Entity Framework Core + Pomelo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Mapeamento objeto-relacional e migrations versionadas (D4, D5)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Banco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Definido no projeto de pesquisa; dados transacionais exigem consistência relacional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Mapster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Conversão entidade ↔ response, licença MIT (D8)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BCrypt.Net-Next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Hash de senha com custo ajustável (RN06)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Otp.NET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Códigos TOTP do app autenticador (RN07)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JwtBearer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Autenticação por token (D7)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Swashbuckle SwaggerUI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Tela interativa sobre a especificação OpenAPI nativa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xUnit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Testes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Testes de domínio, integração e arquitetura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Python + FastAPI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3.13 / 0.141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Analítica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Bibliotecas de ciência de dados maduras; FastAPI é leve para expor poucos endpoints (D2)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pandas, scikit-learn, mlxtend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3.0 / 1.9 / 0.25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Analítica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Preparação de dados, clusterização e regras de associação (RF09)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PuLP + CBC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Analítica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Programação linear da alocação de garçons (RN03)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Angular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Definido no projeto de pesquisa; SPA adequada à comanda em tempo real (RF13)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Infraestrutura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Banco idêntico para a dupla; demonstração com um comando (seção 2.1)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Figma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Prototipagem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Protótipo navegável e avaliação de Nielsen antes de implementar as telas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draw.io, brModelo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Documentação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Diagramas UML (fonte versionada) e DER</w:t>
            </w:r>
          </w:p>
        </w:tc>
      </w:tr>
      <w:tr>
        <w:tc>
          <w:tcPr>
            <w:tcW w:type="dxa" w:w="2755"/>
          </w:tcPr>
          <w:p>
            <w:r>
              <w:rPr>
                <w:sz w:val="18"/>
              </w:rPr>
              <w:t>GitHub (GitFlow, PRs, Projects)</w:t>
            </w:r>
          </w:p>
        </w:tc>
        <w:tc>
          <w:tcPr>
            <w:tcW w:type="dxa" w:w="13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29"/>
          </w:tcPr>
          <w:p>
            <w:r>
              <w:rPr>
                <w:sz w:val="18"/>
              </w:rPr>
              <w:t>Processo</w:t>
            </w:r>
          </w:p>
        </w:tc>
        <w:tc>
          <w:tcPr>
            <w:tcW w:type="dxa" w:w="3329"/>
          </w:tcPr>
          <w:p>
            <w:r>
              <w:rPr>
                <w:sz w:val="18"/>
              </w:rPr>
              <w:t>Revisão cruzada de todo código e documento; rastreio das sprints</w:t>
            </w:r>
          </w:p>
        </w:tc>
      </w:tr>
    </w:tbl>
    <w:p/>
    <w:p>
      <w:pPr>
        <w:pStyle w:val="Heading2"/>
      </w:pPr>
      <w:r>
        <w:t>11. Decisões em aberto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12"/>
            <w:shd w:val="clear" w:color="auto" w:fill="DCE3EE"/>
          </w:tcPr>
          <w:p>
            <w:r>
              <w:rPr>
                <w:b/>
                <w:sz w:val="18"/>
              </w:rPr>
              <w:t>Tema</w:t>
            </w:r>
          </w:p>
        </w:tc>
        <w:tc>
          <w:tcPr>
            <w:tcW w:type="dxa" w:w="5126"/>
            <w:shd w:val="clear" w:color="auto" w:fill="DCE3EE"/>
          </w:tcPr>
          <w:p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4512"/>
          </w:tcPr>
          <w:p>
            <w:r>
              <w:rPr>
                <w:sz w:val="18"/>
              </w:rPr>
              <w:t>Biblioteca de componentes do Angular</w:t>
            </w:r>
          </w:p>
        </w:tc>
        <w:tc>
          <w:tcPr>
            <w:tcW w:type="dxa" w:w="5126"/>
          </w:tcPr>
          <w:p>
            <w:r>
              <w:rPr>
                <w:sz w:val="18"/>
              </w:rPr>
              <w:t>Escolher junto com o protótipo no Figma (ex.: Angular Material ou PrimeNG)</w:t>
            </w:r>
          </w:p>
        </w:tc>
      </w:tr>
      <w:tr>
        <w:tc>
          <w:tcPr>
            <w:tcW w:type="dxa" w:w="4512"/>
          </w:tcPr>
          <w:p>
            <w:r>
              <w:rPr>
                <w:sz w:val="18"/>
              </w:rPr>
              <w:t>Dockerfiles da API, do Python e do frontend</w:t>
            </w:r>
          </w:p>
        </w:tc>
        <w:tc>
          <w:tcPr>
            <w:tcW w:type="dxa" w:w="5126"/>
          </w:tcPr>
          <w:p>
            <w:r>
              <w:rPr>
                <w:sz w:val="18"/>
              </w:rPr>
              <w:t>Criar antes da fase de validação, para a demonstração</w:t>
            </w:r>
          </w:p>
        </w:tc>
      </w:tr>
      <w:tr>
        <w:tc>
          <w:tcPr>
            <w:tcW w:type="dxa" w:w="4512"/>
          </w:tcPr>
          <w:p>
            <w:r>
              <w:rPr>
                <w:sz w:val="18"/>
              </w:rPr>
              <w:t>SonarCloud</w:t>
            </w:r>
          </w:p>
        </w:tc>
        <w:tc>
          <w:tcPr>
            <w:tcW w:type="dxa" w:w="5126"/>
          </w:tcPr>
          <w:p>
            <w:r>
              <w:rPr>
                <w:sz w:val="18"/>
              </w:rPr>
              <w:t>Configurar no fim do desenvolvimento</w:t>
            </w:r>
          </w:p>
        </w:tc>
      </w:tr>
    </w:tbl>
    <w:p/>
    <w:p>
      <w:pPr>
        <w:pStyle w:val="Heading2"/>
      </w:pPr>
      <w:r>
        <w:t>12. Correções em relação à versão anterior</w:t>
      </w:r>
    </w:p>
    <w:p>
      <w:r>
        <w:t xml:space="preserve">O documento </w:t>
      </w:r>
      <w:r>
        <w:rPr>
          <w:rFonts w:ascii="Consolas" w:hAnsi="Consolas"/>
        </w:rPr>
        <w:t>GASTRA_Arquitetura_Tecnologias.docx</w:t>
      </w:r>
      <w:r>
        <w:t xml:space="preserve"> (PR #97) foi escrito antes da implementação. Pontos corrigidos para refletir o sistema real: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78"/>
            <w:shd w:val="clear" w:color="auto" w:fill="DCE3EE"/>
          </w:tcPr>
          <w:p>
            <w:r>
              <w:rPr>
                <w:b/>
                <w:sz w:val="18"/>
              </w:rPr>
              <w:t>Versão anterior</w:t>
            </w:r>
          </w:p>
        </w:tc>
        <w:tc>
          <w:tcPr>
            <w:tcW w:type="dxa" w:w="4759"/>
            <w:shd w:val="clear" w:color="auto" w:fill="DCE3EE"/>
          </w:tcPr>
          <w:p>
            <w:r>
              <w:rPr>
                <w:b/>
                <w:sz w:val="18"/>
              </w:rPr>
              <w:t>Como é</w:t>
            </w:r>
          </w:p>
        </w:tc>
      </w:tr>
      <w:tr>
        <w:tc>
          <w:tcPr>
            <w:tcW w:type="dxa" w:w="4878"/>
          </w:tcPr>
          <w:p>
            <w:r>
              <w:rPr>
                <w:rFonts w:ascii="Consolas" w:hAnsi="Consolas"/>
                <w:sz w:val="18"/>
              </w:rPr>
              <w:t>Communication</w:t>
            </w:r>
            <w:r>
              <w:rPr>
                <w:sz w:val="18"/>
              </w:rPr>
              <w:t xml:space="preserve"> seria o cliente HTTP do serviço Python</w:t>
            </w:r>
          </w:p>
        </w:tc>
        <w:tc>
          <w:tcPr>
            <w:tcW w:type="dxa" w:w="4759"/>
          </w:tcPr>
          <w:p>
            <w:r>
              <w:rPr>
                <w:rFonts w:ascii="Consolas" w:hAnsi="Consolas"/>
                <w:sz w:val="18"/>
              </w:rPr>
              <w:t>Communication</w:t>
            </w:r>
            <w:r>
              <w:rPr>
                <w:sz w:val="18"/>
              </w:rPr>
              <w:t xml:space="preserve"> guarda requests e responses; o cliente HTTP do Python fica na </w:t>
            </w:r>
            <w:r>
              <w:rPr>
                <w:rFonts w:ascii="Consolas" w:hAnsi="Consolas"/>
                <w:sz w:val="18"/>
              </w:rPr>
              <w:t>Infrastructure</w:t>
            </w:r>
          </w:p>
        </w:tc>
      </w:tr>
      <w:tr>
        <w:tc>
          <w:tcPr>
            <w:tcW w:type="dxa" w:w="4878"/>
          </w:tcPr>
          <w:p>
            <w:r>
              <w:rPr>
                <w:rFonts w:ascii="Consolas" w:hAnsi="Consolas"/>
                <w:sz w:val="18"/>
              </w:rPr>
              <w:t>Communication</w:t>
            </w:r>
            <w:r>
              <w:rPr>
                <w:sz w:val="18"/>
              </w:rPr>
              <w:t xml:space="preserve"> implementaria interfaces do domínio</w:t>
            </w:r>
          </w:p>
        </w:tc>
        <w:tc>
          <w:tcPr>
            <w:tcW w:type="dxa" w:w="4759"/>
          </w:tcPr>
          <w:p>
            <w:r>
              <w:rPr>
                <w:rFonts w:ascii="Consolas" w:hAnsi="Consolas"/>
                <w:sz w:val="18"/>
              </w:rPr>
              <w:t>Communication</w:t>
            </w:r>
            <w:r>
              <w:rPr>
                <w:sz w:val="18"/>
              </w:rPr>
              <w:t xml:space="preserve"> não referencia nenhuma camada</w:t>
            </w:r>
          </w:p>
        </w:tc>
      </w:tr>
      <w:tr>
        <w:tc>
          <w:tcPr>
            <w:tcW w:type="dxa" w:w="4878"/>
          </w:tcPr>
          <w:p>
            <w:r>
              <w:rPr>
                <w:rFonts w:ascii="Consolas" w:hAnsi="Consolas"/>
                <w:sz w:val="18"/>
              </w:rPr>
              <w:t>Application</w:t>
            </w:r>
            <w:r>
              <w:rPr>
                <w:sz w:val="18"/>
              </w:rPr>
              <w:t xml:space="preserve"> teria </w:t>
            </w:r>
            <w:r>
              <w:rPr>
                <w:i/>
                <w:sz w:val="18"/>
              </w:rPr>
              <w:t>services</w:t>
            </w:r>
            <w:r>
              <w:rPr>
                <w:sz w:val="18"/>
              </w:rPr>
              <w:t xml:space="preserve"> e DTOs</w:t>
            </w:r>
          </w:p>
        </w:tc>
        <w:tc>
          <w:tcPr>
            <w:tcW w:type="dxa" w:w="4759"/>
          </w:tcPr>
          <w:p>
            <w:r>
              <w:rPr>
                <w:rFonts w:ascii="Consolas" w:hAnsi="Consolas"/>
                <w:sz w:val="18"/>
              </w:rPr>
              <w:t>Application</w:t>
            </w:r>
            <w:r>
              <w:rPr>
                <w:sz w:val="18"/>
              </w:rPr>
              <w:t xml:space="preserve"> tem casos de uso; os DTOs ficam em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</w:tr>
      <w:tr>
        <w:tc>
          <w:tcPr>
            <w:tcW w:type="dxa" w:w="4878"/>
          </w:tcPr>
          <w:p>
            <w:r>
              <w:rPr>
                <w:sz w:val="18"/>
              </w:rPr>
              <w:t xml:space="preserve">Exceções, i18n e filtros como camada </w:t>
            </w:r>
            <w:r>
              <w:rPr>
                <w:i/>
                <w:sz w:val="18"/>
              </w:rPr>
              <w:t>cross-cutting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 xml:space="preserve">Exceções e mensagens são o projeto </w:t>
            </w:r>
            <w:r>
              <w:rPr>
                <w:rFonts w:ascii="Consolas" w:hAnsi="Consolas"/>
                <w:sz w:val="18"/>
              </w:rPr>
              <w:t>Gastra.Exceptions</w:t>
            </w:r>
            <w:r>
              <w:rPr>
                <w:sz w:val="18"/>
              </w:rPr>
              <w:t xml:space="preserve">, usado pela </w:t>
            </w:r>
            <w:r>
              <w:rPr>
                <w:rFonts w:ascii="Consolas" w:hAnsi="Consolas"/>
                <w:sz w:val="18"/>
              </w:rPr>
              <w:t>Application</w:t>
            </w:r>
            <w:r>
              <w:rPr>
                <w:sz w:val="18"/>
              </w:rPr>
              <w:t xml:space="preserve"> e pela </w:t>
            </w:r>
            <w:r>
              <w:rPr>
                <w:rFonts w:ascii="Consolas" w:hAnsi="Consolas"/>
                <w:sz w:val="18"/>
              </w:rPr>
              <w:t>Api</w:t>
            </w:r>
            <w:r>
              <w:rPr>
                <w:sz w:val="18"/>
              </w:rPr>
              <w:t>; o domínio não o referencia</w:t>
            </w:r>
          </w:p>
        </w:tc>
      </w:tr>
      <w:tr>
        <w:tc>
          <w:tcPr>
            <w:tcW w:type="dxa" w:w="4878"/>
          </w:tcPr>
          <w:p>
            <w:r>
              <w:rPr>
                <w:sz w:val="18"/>
              </w:rPr>
              <w:t xml:space="preserve">Strategy Pattern já adotado em </w:t>
            </w:r>
            <w:r>
              <w:rPr>
                <w:rFonts w:ascii="Consolas" w:hAnsi="Consolas"/>
                <w:sz w:val="18"/>
              </w:rPr>
              <w:t>IEstrategiaAlocacao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IRecomendador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 xml:space="preserve">Substituídas por </w:t>
            </w:r>
            <w:r>
              <w:rPr>
                <w:rFonts w:ascii="Consolas" w:hAnsi="Consolas"/>
                <w:sz w:val="18"/>
              </w:rPr>
              <w:t>IServicoAnalitico</w:t>
            </w:r>
            <w:r>
              <w:rPr>
                <w:sz w:val="18"/>
              </w:rPr>
              <w:t xml:space="preserve"> no diagrama de classes (#92), porque o cálculo acontece no Python</w:t>
            </w:r>
          </w:p>
        </w:tc>
      </w:tr>
      <w:tr>
        <w:tc>
          <w:tcPr>
            <w:tcW w:type="dxa" w:w="4878"/>
          </w:tcPr>
          <w:p>
            <w:r>
              <w:rPr>
                <w:sz w:val="18"/>
              </w:rPr>
              <w:t>Mapster com erros detectados em tempo de build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 xml:space="preserve">O projeto usa </w:t>
            </w:r>
            <w:r>
              <w:rPr>
                <w:rFonts w:ascii="Consolas" w:hAnsi="Consolas"/>
                <w:sz w:val="18"/>
              </w:rPr>
              <w:t>Adapt</w:t>
            </w:r>
            <w:r>
              <w:rPr>
                <w:sz w:val="18"/>
              </w:rPr>
              <w:t xml:space="preserve"> em tempo de execução; os testes de integração é que detectam mapeamentos errados</w:t>
            </w:r>
          </w:p>
        </w:tc>
      </w:tr>
      <w:tr>
        <w:tc>
          <w:tcPr>
            <w:tcW w:type="dxa" w:w="4878"/>
          </w:tcPr>
          <w:p>
            <w:r>
              <w:rPr>
                <w:i/>
                <w:sz w:val="18"/>
              </w:rPr>
              <w:t>Exception Handling Middleware</w:t>
            </w:r>
            <w:r>
              <w:rPr>
                <w:sz w:val="18"/>
              </w:rPr>
              <w:t xml:space="preserve"> e </w:t>
            </w:r>
            <w:r>
              <w:rPr>
                <w:i/>
                <w:sz w:val="18"/>
              </w:rPr>
              <w:t>Filters</w:t>
            </w:r>
            <w:r>
              <w:rPr>
                <w:sz w:val="18"/>
              </w:rPr>
              <w:t xml:space="preserve"> para autorização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Erros tratados por filtro (</w:t>
            </w:r>
            <w:r>
              <w:rPr>
                <w:rFonts w:ascii="Consolas" w:hAnsi="Consolas"/>
                <w:sz w:val="18"/>
              </w:rPr>
              <w:t>FiltroExcecao</w:t>
            </w:r>
            <w:r>
              <w:rPr>
                <w:sz w:val="18"/>
              </w:rPr>
              <w:t xml:space="preserve">); autorização por atributo </w:t>
            </w:r>
            <w:r>
              <w:rPr>
                <w:rFonts w:ascii="Consolas" w:hAnsi="Consolas"/>
                <w:sz w:val="18"/>
              </w:rPr>
              <w:t>[Authorize]</w:t>
            </w:r>
            <w:r>
              <w:rPr>
                <w:sz w:val="18"/>
              </w:rPr>
              <w:t xml:space="preserve"> com JWT</w:t>
            </w:r>
          </w:p>
        </w:tc>
      </w:tr>
      <w:tr>
        <w:tc>
          <w:tcPr>
            <w:tcW w:type="dxa" w:w="4878"/>
          </w:tcPr>
          <w:p>
            <w:r>
              <w:rPr>
                <w:sz w:val="18"/>
              </w:rPr>
              <w:t>O Python nunca acessa o MySQL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Mantido para escrita; para leitura do histórico, decisão D10 (views, somente leitura)</w:t>
            </w:r>
          </w:p>
        </w:tc>
      </w:tr>
      <w:tr>
        <w:tc>
          <w:tcPr>
            <w:tcW w:type="dxa" w:w="4878"/>
          </w:tcPr>
          <w:p>
            <w:r>
              <w:rPr>
                <w:sz w:val="18"/>
              </w:rPr>
              <w:t>Diagrama de implantação sem ligação entre API e Python e sem servidor para o Angular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Figura 1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