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GASTRA</w:t>
      </w:r>
    </w:p>
    <w:p>
      <w:pPr>
        <w:pStyle w:val="Heading1"/>
      </w:pPr>
      <w:r>
        <w:t xml:space="preserve">Requisitos e Regras de Negócio</w:t>
      </w:r>
    </w:p>
    <w:p>
      <w:pPr>
        <w:spacing w:after="0"/>
      </w:pPr>
      <w:r>
        <w:t xml:space="preserve">TG — FATEC Araraquara</w:t>
      </w:r>
    </w:p>
    <w:p>
      <w:r>
        <w:t xml:space="preserve">Autores: Daniel Velluto Bento e Pedro Luis Otrente de Campos</w:t>
      </w:r>
    </w:p>
    <w:p>
      <w:r>
        <w:t xml:space="preserve">Orientador: Prof. Me. Leonardo José de Lima Ferrucci</w:t>
      </w:r>
    </w:p>
    <w:p>
      <w:pPr>
        <w:spacing w:after="300"/>
      </w:pPr>
      <w:r>
        <w:t xml:space="preserve">Versão: 27/08/2026</w:t>
      </w:r>
    </w:p>
    <w:p>
      <w:pPr>
        <w:pStyle w:val="Heading1"/>
        <w:spacing w:after="150" w:before="300"/>
      </w:pPr>
      <w:r>
        <w:t xml:space="preserve">1. Escopo considerado neste documento</w:t>
      </w:r>
    </w:p>
    <w:p>
      <w:pPr>
        <w:spacing w:after="150"/>
      </w:pPr>
      <w:r>
        <w:t xml:space="preserve">O foco do TG permanece nos quatro blocos analíticos originais do projeto de pesquisa formal — BI, Ciência de Dados, Programação Linear e LGPD. O módulo de comandas foi aprovado, mas como componente adicional que alimenta esses blocos com dados operacionais reais, não como entrega central do trabalho.</w:t>
      </w:r>
    </w:p>
    <w:p>
      <w:pPr>
        <w:spacing w:after="150"/>
      </w:pPr>
      <w:r>
        <w:t xml:space="preserve">Dentro do módulo de comandas, há uma subdivisão de prioridade que precisa ficar clara em qualquer leitura deste documento:</w:t>
      </w:r>
    </w:p>
    <w:p>
      <w:pPr>
        <w:pStyle w:val="ListParagraph"/>
        <w:numPr>
          <w:ilvl w:val="0"/>
          <w:numId w:val="1"/>
        </w:numPr>
        <w:spacing w:after="80"/>
      </w:pPr>
      <w:r>
        <w:t xml:space="preserve">Núcleo do módulo de comandas (abrir/registrar pedido/fechar comanda) — aprovado como adicional necessário.</w:t>
      </w:r>
    </w:p>
    <w:p>
      <w:pPr>
        <w:pStyle w:val="ListParagraph"/>
        <w:numPr>
          <w:ilvl w:val="0"/>
          <w:numId w:val="1"/>
        </w:numPr>
        <w:spacing w:after="80"/>
      </w:pPr>
      <w:r>
        <w:t xml:space="preserve">Extras condicionados a tempo disponível: cardápio digital para consulta, consulta da comanda em tempo real pelo cliente, e lista de pendências do garçom.</w:t>
      </w:r>
    </w:p>
    <w:p>
      <w:pPr>
        <w:pStyle w:val="ListParagraph"/>
        <w:numPr>
          <w:ilvl w:val="0"/>
          <w:numId w:val="1"/>
        </w:numPr>
        <w:spacing w:after="80"/>
      </w:pPr>
      <w:r>
        <w:t xml:space="preserve">Fora do escopo: qualquer integração com a cozinha — feature futura, pós-defesa.</w:t>
      </w:r>
    </w:p>
    <w:p>
      <w:pPr>
        <w:pStyle w:val="ListParagraph"/>
        <w:numPr>
          <w:ilvl w:val="0"/>
          <w:numId w:val="1"/>
        </w:numPr>
        <w:spacing w:after="80"/>
      </w:pPr>
      <w:r>
        <w:t xml:space="preserve">Fora do escopo: sistema de fidelização com cadastro/identificação persistente do cliente (CPF ou QR code, histórico de pedidos entre visitas, recomendação individual) — decisão conjunta com o orientador (27/08/2026); ver seção 5.2 para o racional completo.</w:t>
      </w:r>
    </w:p>
    <w:p>
      <w:pPr>
        <w:pStyle w:val="Heading1"/>
        <w:spacing w:after="150" w:before="300"/>
      </w:pPr>
      <w:r>
        <w:t xml:space="preserve">2. Requisitos Funcionais (RF)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450"/>
        <w:gridCol w:w="3000"/>
      </w:tblGrid>
      <w:tr>
        <w:tc>
          <w:tcPr>
            <w:tcW w:type="dxa" w:w="700"/>
            <w:shd w:fill="D9D9D9" w:val="clear"/>
          </w:tcPr>
          <w:p>
            <w:r>
              <w:rPr>
                <w:b/>
                <w:bCs/>
              </w:rPr>
              <w:t xml:space="preserve">ID</w:t>
            </w:r>
          </w:p>
        </w:tc>
        <w:tc>
          <w:tcPr>
            <w:tcW w:type="dxa" w:w="4200"/>
            <w:shd w:fill="D9D9D9" w:val="clear"/>
          </w:tcPr>
          <w:p>
            <w:r>
              <w:rPr>
                <w:b/>
                <w:bCs/>
              </w:rPr>
              <w:t xml:space="preserve">Descrição</w:t>
            </w:r>
          </w:p>
        </w:tc>
        <w:tc>
          <w:tcPr>
            <w:tcW w:type="dxa" w:w="1450"/>
            <w:shd w:fill="D9D9D9" w:val="clear"/>
          </w:tcPr>
          <w:p>
            <w:r>
              <w:rPr>
                <w:b/>
                <w:bCs/>
              </w:rPr>
              <w:t xml:space="preserve">Ator(es)</w:t>
            </w:r>
          </w:p>
        </w:tc>
        <w:tc>
          <w:tcPr>
            <w:tcW w:type="dxa" w:w="3000"/>
            <w:shd w:fill="D9D9D9" w:val="clear"/>
          </w:tcPr>
          <w:p>
            <w:r>
              <w:rPr>
                <w:b/>
                <w:bCs/>
              </w:rPr>
              <w:t xml:space="preserve">Justificativa / Origem</w:t>
            </w:r>
          </w:p>
        </w:tc>
      </w:tr>
      <w:tr>
        <w:tc>
          <w:tcPr>
            <w:tcW w:type="dxa" w:w="700"/>
          </w:tcPr>
          <w:p>
            <w:r>
              <w:rPr>
                <w:b w:val="false"/>
                <w:bCs w:val="false"/>
              </w:rPr>
              <w:t xml:space="preserve">RF01</w:t>
            </w:r>
          </w:p>
        </w:tc>
        <w:tc>
          <w:tcPr>
            <w:tcW w:type="dxa" w:w="4200"/>
          </w:tcPr>
          <w:p>
            <w:r>
              <w:rPr>
                <w:b w:val="false"/>
                <w:bCs w:val="false"/>
              </w:rPr>
              <w:t xml:space="preserve">O sistema deve permitir que o Garçom abra uma comanda vinculada a uma mesa específica.</w:t>
            </w:r>
          </w:p>
        </w:tc>
        <w:tc>
          <w:tcPr>
            <w:tcW w:type="dxa" w:w="1450"/>
          </w:tcPr>
          <w:p>
            <w:r>
              <w:rPr>
                <w:b w:val="false"/>
                <w:bCs w:val="false"/>
              </w:rPr>
              <w:t xml:space="preserve">Garçom</w:t>
            </w:r>
          </w:p>
        </w:tc>
        <w:tc>
          <w:tcPr>
            <w:tcW w:type="dxa" w:w="3000"/>
          </w:tcPr>
          <w:p>
            <w:r>
              <w:rPr>
                <w:b w:val="false"/>
                <w:bCs w:val="false"/>
              </w:rPr>
              <w:t xml:space="preserve">Núcleo do módulo de comandas — adicional aprovado (21/08/2026).</w:t>
            </w:r>
          </w:p>
        </w:tc>
      </w:tr>
      <w:tr>
        <w:tc>
          <w:tcPr>
            <w:tcW w:type="dxa" w:w="700"/>
          </w:tcPr>
          <w:p>
            <w:r>
              <w:rPr>
                <w:b w:val="false"/>
                <w:bCs w:val="false"/>
              </w:rPr>
              <w:t xml:space="preserve">RF02</w:t>
            </w:r>
          </w:p>
        </w:tc>
        <w:tc>
          <w:tcPr>
            <w:tcW w:type="dxa" w:w="4200"/>
          </w:tcPr>
          <w:p>
            <w:r>
              <w:rPr>
                <w:b w:val="false"/>
                <w:bCs w:val="false"/>
              </w:rPr>
              <w:t xml:space="preserve">O sistema deve sugerir automaticamente a composição da mesa, permitindo ao Garçom confirmar ou ajustar.</w:t>
            </w:r>
          </w:p>
        </w:tc>
        <w:tc>
          <w:tcPr>
            <w:tcW w:type="dxa" w:w="1450"/>
          </w:tcPr>
          <w:p>
            <w:r>
              <w:rPr>
                <w:b w:val="false"/>
                <w:bCs w:val="false"/>
              </w:rPr>
              <w:t xml:space="preserve">Garçom</w:t>
            </w:r>
          </w:p>
        </w:tc>
        <w:tc>
          <w:tcPr>
            <w:tcW w:type="dxa" w:w="3000"/>
          </w:tcPr>
          <w:p>
            <w:r>
              <w:rPr>
                <w:b w:val="false"/>
                <w:bCs w:val="false"/>
              </w:rPr>
              <w:t xml:space="preserve">Decisão de design (13/08/2026); confirmado por entrevista.</w:t>
            </w:r>
          </w:p>
        </w:tc>
      </w:tr>
      <w:tr>
        <w:tc>
          <w:tcPr>
            <w:tcW w:type="dxa" w:w="700"/>
          </w:tcPr>
          <w:p>
            <w:r>
              <w:rPr>
                <w:b w:val="false"/>
                <w:bCs w:val="false"/>
              </w:rPr>
              <w:t xml:space="preserve">RF03</w:t>
            </w:r>
          </w:p>
        </w:tc>
        <w:tc>
          <w:tcPr>
            <w:tcW w:type="dxa" w:w="4200"/>
          </w:tcPr>
          <w:p>
            <w:r>
              <w:rPr>
                <w:b w:val="false"/>
                <w:bCs w:val="false"/>
              </w:rPr>
              <w:t xml:space="preserve">O sistema deve permitir ao Garçom registrar os itens do pedido associados à comanda aberta, com lista de pendências visível.</w:t>
            </w:r>
          </w:p>
        </w:tc>
        <w:tc>
          <w:tcPr>
            <w:tcW w:type="dxa" w:w="1450"/>
          </w:tcPr>
          <w:p>
            <w:r>
              <w:rPr>
                <w:b w:val="false"/>
                <w:bCs w:val="false"/>
              </w:rPr>
              <w:t xml:space="preserve">Garçom</w:t>
            </w:r>
          </w:p>
        </w:tc>
        <w:tc>
          <w:tcPr>
            <w:tcW w:type="dxa" w:w="3000"/>
          </w:tcPr>
          <w:p>
            <w:r>
              <w:rPr>
                <w:b w:val="false"/>
                <w:bCs w:val="false"/>
              </w:rPr>
              <w:t xml:space="preserve">Núcleo do módulo de comandas + entrevista.</w:t>
            </w:r>
          </w:p>
        </w:tc>
      </w:tr>
      <w:tr>
        <w:tc>
          <w:tcPr>
            <w:tcW w:type="dxa" w:w="700"/>
          </w:tcPr>
          <w:p>
            <w:r>
              <w:rPr>
                <w:b w:val="false"/>
                <w:bCs w:val="false"/>
              </w:rPr>
              <w:t xml:space="preserve">RF04</w:t>
            </w:r>
          </w:p>
        </w:tc>
        <w:tc>
          <w:tcPr>
            <w:tcW w:type="dxa" w:w="4200"/>
          </w:tcPr>
          <w:p>
            <w:r>
              <w:rPr>
                <w:b w:val="false"/>
                <w:bCs w:val="false"/>
              </w:rPr>
              <w:t xml:space="preserve">O sistema deve permitir ao Garçom fechar a comanda, calculando o valor total com taxa de serviço.</w:t>
            </w:r>
          </w:p>
        </w:tc>
        <w:tc>
          <w:tcPr>
            <w:tcW w:type="dxa" w:w="1450"/>
          </w:tcPr>
          <w:p>
            <w:r>
              <w:rPr>
                <w:b w:val="false"/>
                <w:bCs w:val="false"/>
              </w:rPr>
              <w:t xml:space="preserve">Garçom</w:t>
            </w:r>
          </w:p>
        </w:tc>
        <w:tc>
          <w:tcPr>
            <w:tcW w:type="dxa" w:w="3000"/>
          </w:tcPr>
          <w:p>
            <w:r>
              <w:rPr>
                <w:b w:val="false"/>
                <w:bCs w:val="false"/>
              </w:rPr>
              <w:t xml:space="preserve">Núcleo do módulo de comandas — adicional aprovado.</w:t>
            </w:r>
          </w:p>
        </w:tc>
      </w:tr>
      <w:tr>
        <w:tc>
          <w:tcPr>
            <w:tcW w:type="dxa" w:w="700"/>
          </w:tcPr>
          <w:p>
            <w:r>
              <w:rPr>
                <w:b w:val="false"/>
                <w:bCs w:val="false"/>
              </w:rPr>
              <w:t xml:space="preserve">RF05</w:t>
            </w:r>
          </w:p>
        </w:tc>
        <w:tc>
          <w:tcPr>
            <w:tcW w:type="dxa" w:w="4200"/>
          </w:tcPr>
          <w:p>
            <w:r>
              <w:rPr>
                <w:b w:val="false"/>
                <w:bCs w:val="false"/>
              </w:rPr>
              <w:t xml:space="preserve">O sistema deve permitir ao Cliente consultar, via QR code ou tablet, o cardápio digital com fotos, preço e flags dietéticas, sem função de pedido.</w:t>
            </w:r>
          </w:p>
        </w:tc>
        <w:tc>
          <w:tcPr>
            <w:tcW w:type="dxa" w:w="1450"/>
          </w:tcPr>
          <w:p>
            <w:r>
              <w:rPr>
                <w:b w:val="false"/>
                <w:bCs w:val="false"/>
              </w:rPr>
              <w:t xml:space="preserve">Cliente (condicional)</w:t>
            </w:r>
          </w:p>
        </w:tc>
        <w:tc>
          <w:tcPr>
            <w:tcW w:type="dxa" w:w="3000"/>
          </w:tcPr>
          <w:p>
            <w:r>
              <w:rPr>
                <w:b w:val="false"/>
                <w:bCs w:val="false"/>
              </w:rPr>
              <w:t xml:space="preserve">EXTRA — condicionado a tempo. 77% dos clientes relatam dificuldade com flags dietéticas.</w:t>
            </w:r>
          </w:p>
        </w:tc>
      </w:tr>
      <w:tr>
        <w:tc>
          <w:tcPr>
            <w:tcW w:type="dxa" w:w="700"/>
          </w:tcPr>
          <w:p>
            <w:r>
              <w:rPr>
                <w:b w:val="false"/>
                <w:bCs w:val="false"/>
              </w:rPr>
              <w:t xml:space="preserve">RF06</w:t>
            </w:r>
          </w:p>
        </w:tc>
        <w:tc>
          <w:tcPr>
            <w:tcW w:type="dxa" w:w="4200"/>
          </w:tcPr>
          <w:p>
            <w:r>
              <w:rPr>
                <w:b w:val="false"/>
                <w:bCs w:val="false"/>
              </w:rPr>
              <w:t xml:space="preserve">O sistema deve calcular uma sugestão de alocação de garçons às mesas/praças com base em programação linear (RN03).</w:t>
            </w:r>
          </w:p>
        </w:tc>
        <w:tc>
          <w:tcPr>
            <w:tcW w:type="dxa" w:w="1450"/>
          </w:tcPr>
          <w:p>
            <w:r>
              <w:rPr>
                <w:b w:val="false"/>
                <w:bCs w:val="false"/>
              </w:rPr>
              <w:t xml:space="preserve">Sistema / Metre</w:t>
            </w:r>
          </w:p>
        </w:tc>
        <w:tc>
          <w:tcPr>
            <w:tcW w:type="dxa" w:w="3000"/>
          </w:tcPr>
          <w:p>
            <w:r>
              <w:rPr>
                <w:b w:val="false"/>
                <w:bCs w:val="false"/>
              </w:rPr>
              <w:t xml:space="preserve">Escopo original, bloco de Programação Linear.</w:t>
            </w:r>
          </w:p>
        </w:tc>
      </w:tr>
      <w:tr>
        <w:tc>
          <w:tcPr>
            <w:tcW w:type="dxa" w:w="700"/>
          </w:tcPr>
          <w:p>
            <w:r>
              <w:rPr>
                <w:b w:val="false"/>
                <w:bCs w:val="false"/>
              </w:rPr>
              <w:t xml:space="preserve">RF07</w:t>
            </w:r>
          </w:p>
        </w:tc>
        <w:tc>
          <w:tcPr>
            <w:tcW w:type="dxa" w:w="4200"/>
          </w:tcPr>
          <w:p>
            <w:r>
              <w:rPr>
                <w:b w:val="false"/>
                <w:bCs w:val="false"/>
              </w:rPr>
              <w:t xml:space="preserve">O sistema deve permitir ao Metre visualizar e ajustar manualmente a alocação sugerida antes de confirmá-la.</w:t>
            </w:r>
          </w:p>
        </w:tc>
        <w:tc>
          <w:tcPr>
            <w:tcW w:type="dxa" w:w="1450"/>
          </w:tcPr>
          <w:p>
            <w:r>
              <w:rPr>
                <w:b w:val="false"/>
                <w:bCs w:val="false"/>
              </w:rPr>
              <w:t xml:space="preserve">Metre</w:t>
            </w:r>
          </w:p>
        </w:tc>
        <w:tc>
          <w:tcPr>
            <w:tcW w:type="dxa" w:w="3000"/>
          </w:tcPr>
          <w:p>
            <w:r>
              <w:rPr>
                <w:b w:val="false"/>
                <w:bCs w:val="false"/>
              </w:rPr>
              <w:t xml:space="preserve">Mantém decisão humana final; reforçado pela entrevista.</w:t>
            </w:r>
          </w:p>
        </w:tc>
      </w:tr>
      <w:tr>
        <w:tc>
          <w:tcPr>
            <w:tcW w:type="dxa" w:w="700"/>
          </w:tcPr>
          <w:p>
            <w:r>
              <w:rPr>
                <w:b w:val="false"/>
                <w:bCs w:val="false"/>
              </w:rPr>
              <w:t xml:space="preserve">RF08</w:t>
            </w:r>
          </w:p>
        </w:tc>
        <w:tc>
          <w:tcPr>
            <w:tcW w:type="dxa" w:w="4200"/>
          </w:tcPr>
          <w:p>
            <w:r>
              <w:rPr>
                <w:b w:val="false"/>
                <w:bCs w:val="false"/>
              </w:rPr>
              <w:t xml:space="preserve">O sistema deve registrar o histórico de alocações e faturamento por praça para uso no RN03 e em BI.</w:t>
            </w:r>
          </w:p>
        </w:tc>
        <w:tc>
          <w:tcPr>
            <w:tcW w:type="dxa" w:w="1450"/>
          </w:tcPr>
          <w:p>
            <w:r>
              <w:rPr>
                <w:b w:val="false"/>
                <w:bCs w:val="false"/>
              </w:rPr>
              <w:t xml:space="preserve">Sistema</w:t>
            </w:r>
          </w:p>
        </w:tc>
        <w:tc>
          <w:tcPr>
            <w:tcW w:type="dxa" w:w="3000"/>
          </w:tcPr>
          <w:p>
            <w:r>
              <w:rPr>
                <w:b w:val="false"/>
                <w:bCs w:val="false"/>
              </w:rPr>
              <w:t xml:space="preserve">Escopo original + entrevista.</w:t>
            </w:r>
          </w:p>
        </w:tc>
      </w:tr>
      <w:tr>
        <w:tc>
          <w:tcPr>
            <w:tcW w:type="dxa" w:w="700"/>
          </w:tcPr>
          <w:p>
            <w:r>
              <w:rPr>
                <w:b w:val="false"/>
                <w:bCs w:val="false"/>
              </w:rPr>
              <w:t xml:space="preserve">RF09</w:t>
            </w:r>
          </w:p>
        </w:tc>
        <w:tc>
          <w:tcPr>
            <w:tcW w:type="dxa" w:w="4200"/>
          </w:tcPr>
          <w:p>
            <w:r>
              <w:rPr>
                <w:b w:val="false"/>
                <w:bCs w:val="false"/>
              </w:rPr>
              <w:t xml:space="preserve">O sistema deve sugerir combinações de pratos ao Garçom com base em clusterização e regras de associação.</w:t>
            </w:r>
          </w:p>
        </w:tc>
        <w:tc>
          <w:tcPr>
            <w:tcW w:type="dxa" w:w="1450"/>
          </w:tcPr>
          <w:p>
            <w:r>
              <w:rPr>
                <w:b w:val="false"/>
                <w:bCs w:val="false"/>
              </w:rPr>
              <w:t xml:space="preserve">Garçom</w:t>
            </w:r>
          </w:p>
        </w:tc>
        <w:tc>
          <w:tcPr>
            <w:tcW w:type="dxa" w:w="3000"/>
          </w:tcPr>
          <w:p>
            <w:r>
              <w:rPr>
                <w:b w:val="false"/>
                <w:bCs w:val="false"/>
              </w:rPr>
              <w:t xml:space="preserve">Escopo original, bloco de Ciência de Dados.</w:t>
            </w:r>
          </w:p>
        </w:tc>
      </w:tr>
      <w:tr>
        <w:tc>
          <w:tcPr>
            <w:tcW w:type="dxa" w:w="700"/>
          </w:tcPr>
          <w:p>
            <w:r>
              <w:rPr>
                <w:b w:val="false"/>
                <w:bCs w:val="false"/>
              </w:rPr>
              <w:t xml:space="preserve">RF10</w:t>
            </w:r>
          </w:p>
        </w:tc>
        <w:tc>
          <w:tcPr>
            <w:tcW w:type="dxa" w:w="4200"/>
          </w:tcPr>
          <w:p>
            <w:r>
              <w:rPr>
                <w:b w:val="false"/>
                <w:bCs w:val="false"/>
              </w:rPr>
              <w:t xml:space="preserve">O sistema deve exibir ao Gerente relatórios agregados de faturamento por praça e por garçom, com os KPIs da seção 3.</w:t>
            </w:r>
          </w:p>
        </w:tc>
        <w:tc>
          <w:tcPr>
            <w:tcW w:type="dxa" w:w="1450"/>
          </w:tcPr>
          <w:p>
            <w:r>
              <w:rPr>
                <w:b w:val="false"/>
                <w:bCs w:val="false"/>
              </w:rPr>
              <w:t xml:space="preserve">Gerente</w:t>
            </w:r>
          </w:p>
        </w:tc>
        <w:tc>
          <w:tcPr>
            <w:tcW w:type="dxa" w:w="3000"/>
          </w:tcPr>
          <w:p>
            <w:r>
              <w:rPr>
                <w:b w:val="false"/>
                <w:bCs w:val="false"/>
              </w:rPr>
              <w:t xml:space="preserve">Escopo original, bloco de BI.</w:t>
            </w:r>
          </w:p>
        </w:tc>
      </w:tr>
      <w:tr>
        <w:tc>
          <w:tcPr>
            <w:tcW w:type="dxa" w:w="700"/>
          </w:tcPr>
          <w:p>
            <w:r>
              <w:rPr>
                <w:b w:val="false"/>
                <w:bCs w:val="false"/>
              </w:rPr>
              <w:t xml:space="preserve">RF11</w:t>
            </w:r>
          </w:p>
        </w:tc>
        <w:tc>
          <w:tcPr>
            <w:tcW w:type="dxa" w:w="4200"/>
          </w:tcPr>
          <w:p>
            <w:r>
              <w:rPr>
                <w:b w:val="false"/>
                <w:bCs w:val="false"/>
              </w:rPr>
              <w:t xml:space="preserve">O sistema deve exibir um índice composto de desempenho dos garçons (não apenas venda) para ranking/gamificação.</w:t>
            </w:r>
          </w:p>
        </w:tc>
        <w:tc>
          <w:tcPr>
            <w:tcW w:type="dxa" w:w="1450"/>
          </w:tcPr>
          <w:p>
            <w:r>
              <w:rPr>
                <w:b w:val="false"/>
                <w:bCs w:val="false"/>
              </w:rPr>
              <w:t xml:space="preserve">Gerente, Garçom</w:t>
            </w:r>
          </w:p>
        </w:tc>
        <w:tc>
          <w:tcPr>
            <w:tcW w:type="dxa" w:w="3000"/>
          </w:tcPr>
          <w:p>
            <w:r>
              <w:rPr>
                <w:b w:val="false"/>
                <w:bCs w:val="false"/>
              </w:rPr>
              <w:t xml:space="preserve">Refinado pela entrevista.</w:t>
            </w:r>
          </w:p>
        </w:tc>
      </w:tr>
      <w:tr>
        <w:tc>
          <w:tcPr>
            <w:tcW w:type="dxa" w:w="700"/>
          </w:tcPr>
          <w:p>
            <w:r>
              <w:rPr>
                <w:b w:val="false"/>
                <w:bCs w:val="false"/>
              </w:rPr>
              <w:t xml:space="preserve">RF13</w:t>
            </w:r>
          </w:p>
        </w:tc>
        <w:tc>
          <w:tcPr>
            <w:tcW w:type="dxa" w:w="4200"/>
          </w:tcPr>
          <w:p>
            <w:r>
              <w:rPr>
                <w:b w:val="false"/>
                <w:bCs w:val="false"/>
              </w:rPr>
              <w:t xml:space="preserve">O sistema deve permitir ao Cliente consultar sua comanda em tempo real (itens já lançados e valor parcial).</w:t>
            </w:r>
          </w:p>
        </w:tc>
        <w:tc>
          <w:tcPr>
            <w:tcW w:type="dxa" w:w="1450"/>
          </w:tcPr>
          <w:p>
            <w:r>
              <w:rPr>
                <w:b w:val="false"/>
                <w:bCs w:val="false"/>
              </w:rPr>
              <w:t xml:space="preserve">Cliente (condicional)</w:t>
            </w:r>
          </w:p>
        </w:tc>
        <w:tc>
          <w:tcPr>
            <w:tcW w:type="dxa" w:w="3000"/>
          </w:tcPr>
          <w:p>
            <w:r>
              <w:rPr>
                <w:b w:val="false"/>
                <w:bCs w:val="false"/>
              </w:rPr>
              <w:t xml:space="preserve">EXTRA — condicionado a tempo. Achado da entrevista: reduz disputa de conta.</w:t>
            </w:r>
          </w:p>
        </w:tc>
      </w:tr>
      <w:tr>
        <w:tc>
          <w:tcPr>
            <w:tcW w:type="dxa" w:w="700"/>
          </w:tcPr>
          <w:p>
            <w:r>
              <w:rPr>
                <w:b w:val="false"/>
                <w:bCs w:val="false"/>
              </w:rPr>
              <w:t xml:space="preserve">RF14</w:t>
            </w:r>
          </w:p>
        </w:tc>
        <w:tc>
          <w:tcPr>
            <w:tcW w:type="dxa" w:w="4200"/>
          </w:tcPr>
          <w:p>
            <w:r>
              <w:rPr>
                <w:b w:val="false"/>
                <w:bCs w:val="false"/>
              </w:rPr>
              <w:t xml:space="preserve">O sistema deve permitir ao Garçom registrar a restrição/preferência alimentar informada voluntariamente pelo cliente, combinando lista fechada de categorias comuns com um campo de observação livre vinculado à comanda ativa.</w:t>
            </w:r>
          </w:p>
        </w:tc>
        <w:tc>
          <w:tcPr>
            <w:tcW w:type="dxa" w:w="1450"/>
          </w:tcPr>
          <w:p>
            <w:r>
              <w:rPr>
                <w:b w:val="false"/>
                <w:bCs w:val="false"/>
              </w:rPr>
              <w:t xml:space="preserve">Garçom</w:t>
            </w:r>
          </w:p>
        </w:tc>
        <w:tc>
          <w:tcPr>
            <w:tcW w:type="dxa" w:w="3000"/>
          </w:tcPr>
          <w:p>
            <w:r>
              <w:rPr>
                <w:b w:val="false"/>
                <w:bCs w:val="false"/>
              </w:rPr>
              <w:t xml:space="preserve">O campo estruturado alimenta o Bloco de Ciência de Dados (RF09); o campo livre é lembrete operacional, não entra na análise.</w:t>
            </w:r>
          </w:p>
        </w:tc>
      </w:tr>
    </w:tbl>
    <w:p>
      <w:pPr>
        <w:pStyle w:val="Heading1"/>
        <w:spacing w:after="150" w:before="300"/>
      </w:pPr>
      <w:r>
        <w:t xml:space="preserve">3. KPIs e critérios analíticos</w:t>
      </w:r>
    </w:p>
    <w:p>
      <w:pPr>
        <w:pStyle w:val="Heading2"/>
        <w:spacing w:after="120" w:before="250"/>
      </w:pPr>
      <w:r>
        <w:t xml:space="preserve">3.1 Critério de rotação/alocação de garçons (RN03) — estrutura final</w:t>
      </w:r>
    </w:p>
    <w:p>
      <w:pPr>
        <w:spacing w:after="150"/>
      </w:pPr>
      <w:r>
        <w:t xml:space="preserve">Classificação formal do problema: a alocação de garçons a praças é um Problema de Designação (Assignment Problem), caso particular do Problema de Transporte em Programação Linear (referência: HILLIER; LIEBERMAN, Introduction to Operations Research — ver Referências Bibliográficas). O referencial de Vieira et al. (2015), já citado no projeto de pesquisa formal, trata do mesmo domínio (escalas de trabalho em restaurantes) com o mesmo princípio de equilíbrio de carga.</w:t>
      </w:r>
    </w:p>
    <w:p>
      <w:pPr>
        <w:spacing w:after="150"/>
      </w:pPr>
      <w:r>
        <w:t xml:space="preserve">Estrutura validada com o orientador (reunião de 27/08/2026): o critério de alocação passa a considerar dois fatores combinados por soma ponderada (escalarização), método padrão para reduzir um problema multiobjetivo a uma função objetivo única de PL:</w:t>
      </w:r>
    </w:p>
    <w:p>
      <w:pPr>
        <w:pStyle w:val="ListParagraph"/>
        <w:numPr>
          <w:ilvl w:val="0"/>
          <w:numId w:val="1"/>
        </w:numPr>
        <w:spacing w:after="80"/>
      </w:pPr>
      <w:r>
        <w:t xml:space="preserve">Fator 1 — equilíbrio do faturamento acumulado por garçom, ponderado pelo faturamento médio histórico da praça (estrutura original, issue #6).</w:t>
      </w:r>
    </w:p>
    <w:p>
      <w:pPr>
        <w:pStyle w:val="ListParagraph"/>
        <w:numPr>
          <w:ilvl w:val="0"/>
          <w:numId w:val="1"/>
        </w:numPr>
        <w:spacing w:after="80"/>
      </w:pPr>
      <w:r>
        <w:t xml:space="preserve">Fator 2 — tempo decorrido desde a última alocação do garçom a uma praça de alto potencial (fator de equidade adicional, recomendado pelo orientador).</w:t>
      </w:r>
    </w:p>
    <w:p>
      <w:pPr>
        <w:spacing w:after="150"/>
      </w:pPr>
      <w:r>
        <w:t xml:space="preserve">Formulação proposta:</w:t>
      </w:r>
    </w:p>
    <w:p>
      <w:pPr>
        <w:pStyle w:val="ListParagraph"/>
        <w:numPr>
          <w:ilvl w:val="0"/>
          <w:numId w:val="1"/>
        </w:numPr>
        <w:spacing w:after="80"/>
      </w:pPr>
      <w:r>
        <w:t xml:space="preserve">Variável de decisão: x_ij ∈ {0,1} — garçom i alocado à praça j no turno (1 = sim, 0 = não).</w:t>
      </w:r>
    </w:p>
    <w:p>
      <w:pPr>
        <w:pStyle w:val="ListParagraph"/>
        <w:numPr>
          <w:ilvl w:val="0"/>
          <w:numId w:val="1"/>
        </w:numPr>
        <w:spacing w:after="80"/>
      </w:pPr>
      <w:r>
        <w:t xml:space="preserve">Coeficiente de custo: c_ij = w1 × desequilíbrio_normalizado(i,j) + w2 × tempo_normalizado(i,j), com w1 + w2 = 1 e ambos os fatores normalizados em escala [0,1] antes da combinação, para evitar que a diferença de magnitude entre faturamento (R$) e tempo (dias/turnos) distorça o resultado independentemente dos pesos escolhidos.</w:t>
      </w:r>
    </w:p>
    <w:p>
      <w:pPr>
        <w:pStyle w:val="ListParagraph"/>
        <w:numPr>
          <w:ilvl w:val="0"/>
          <w:numId w:val="1"/>
        </w:numPr>
        <w:spacing w:after="80"/>
      </w:pPr>
      <w:r>
        <w:t xml:space="preserve">Função objetivo: minimizar Σ Σ c_ij × x_ij.</w:t>
      </w:r>
    </w:p>
    <w:p>
      <w:pPr>
        <w:pStyle w:val="ListParagraph"/>
        <w:numPr>
          <w:ilvl w:val="0"/>
          <w:numId w:val="1"/>
        </w:numPr>
        <w:spacing w:after="80"/>
      </w:pPr>
      <w:r>
        <w:t xml:space="preserve">Restrições: cada garçom alocado a exatamente uma praça (Σⱼ x_ij = 1 para todo i); cada praça recebe o número de garçons que comporta (Σᵢ x_ij = N_j para todo j); x_ij ∈ {0,1}.</w:t>
      </w:r>
    </w:p>
    <w:p>
      <w:pPr>
        <w:spacing w:after="150"/>
      </w:pPr>
      <w:r>
        <w:t xml:space="preserve">Nota de implementação: por se tratar de um Problema de Designação, a matriz de restrições é totalmente unimodular — a relaxação contínua do LP já produz solução inteira, dispensando um solver de Programação Linear Inteira dedicado, desde que não sejam adicionadas restrições que quebrem essa propriedade. Bibliotecas candidatas (Python, já definido no projeto de pesquisa): scipy.optimize.linprog (Simplex), PuLP ou OR-Tools.</w:t>
      </w:r>
    </w:p>
    <w:p>
      <w:pPr>
        <w:spacing w:after="150"/>
      </w:pPr>
      <w:r>
        <w:t xml:space="preserve">Racional: descarta as hipóteses "minimizar tempo de espera" e "maximizar gorjeta total" por não terem aparecido como dor espontânea nem na entrevista nem no questionário; a dor relatada foi especificamente desigualdade percebida entre praças, complementada pela recomendação do orientador de considerar também a recorrência da alocação.</w:t>
      </w:r>
    </w:p>
    <w:p>
      <w:pPr>
        <w:spacing w:after="150"/>
      </w:pPr>
      <w:r>
        <w:t xml:space="preserve">Pendente: os valores numéricos de w1 e w2 serão calibrados com dado simulado (fonte aceita pelo orientador em 27/08/2026) na issue #55, junto com a decisão de qual métrica de equidade usar para comparar diferentes combinações de pesos (ex.: variância do faturamento acumulado entre garçons ao longo de N turnos simulados, ou coeficiente de Gini).</w:t>
      </w:r>
    </w:p>
    <w:p>
      <w:pPr>
        <w:pStyle w:val="Heading2"/>
        <w:spacing w:after="120" w:before="250"/>
      </w:pPr>
      <w:r>
        <w:t xml:space="preserve">3.2 KPIs de BI (RF10) e índice de ranking (RF11)</w:t>
      </w:r>
    </w:p>
    <w:p>
      <w:pPr>
        <w:pStyle w:val="ListParagraph"/>
        <w:numPr>
          <w:ilvl w:val="0"/>
          <w:numId w:val="1"/>
        </w:numPr>
        <w:spacing w:after="80"/>
      </w:pPr>
      <w:r>
        <w:t xml:space="preserve">Faturamento total e médio por garçom, por período.</w:t>
      </w:r>
    </w:p>
    <w:p>
      <w:pPr>
        <w:pStyle w:val="ListParagraph"/>
        <w:numPr>
          <w:ilvl w:val="0"/>
          <w:numId w:val="1"/>
        </w:numPr>
        <w:spacing w:after="80"/>
      </w:pPr>
      <w:r>
        <w:t xml:space="preserve">Faturamento médio histórico por praça (alimenta o RN03).</w:t>
      </w:r>
    </w:p>
    <w:p>
      <w:pPr>
        <w:pStyle w:val="ListParagraph"/>
        <w:numPr>
          <w:ilvl w:val="0"/>
          <w:numId w:val="1"/>
        </w:numPr>
        <w:spacing w:after="80"/>
      </w:pPr>
      <w:r>
        <w:t xml:space="preserve">Ticket médio por mesa atendida.</w:t>
      </w:r>
    </w:p>
    <w:p>
      <w:pPr>
        <w:pStyle w:val="ListParagraph"/>
        <w:numPr>
          <w:ilvl w:val="0"/>
          <w:numId w:val="1"/>
        </w:numPr>
        <w:spacing w:after="80"/>
      </w:pPr>
      <w:r>
        <w:t xml:space="preserve">Tempo médio de atendimento (abertura → fechamento da comanda).</w:t>
      </w:r>
    </w:p>
    <w:p>
      <w:pPr>
        <w:pStyle w:val="ListParagraph"/>
        <w:numPr>
          <w:ilvl w:val="0"/>
          <w:numId w:val="1"/>
        </w:numPr>
        <w:spacing w:after="80"/>
      </w:pPr>
      <w:r>
        <w:t xml:space="preserve">Índice composto de desempenho: combina faturamento + nº de mesas atendidas.</w:t>
      </w:r>
    </w:p>
    <w:p>
      <w:pPr>
        <w:pStyle w:val="Heading2"/>
        <w:spacing w:after="120" w:before="250"/>
      </w:pPr>
      <w:r>
        <w:t xml:space="preserve">3.3 Critério de recomendação de pratos (RF09)</w:t>
      </w:r>
    </w:p>
    <w:p>
      <w:pPr>
        <w:pStyle w:val="ListParagraph"/>
        <w:numPr>
          <w:ilvl w:val="0"/>
          <w:numId w:val="1"/>
        </w:numPr>
        <w:spacing w:after="80"/>
      </w:pPr>
      <w:r>
        <w:t xml:space="preserve">Regras de associação: limiares mínimos de suporte e confiança — a calibrar quando houver volume de dado suficiente.</w:t>
      </w:r>
    </w:p>
    <w:p>
      <w:pPr>
        <w:pStyle w:val="ListParagraph"/>
        <w:numPr>
          <w:ilvl w:val="0"/>
          <w:numId w:val="1"/>
        </w:numPr>
        <w:spacing w:after="80"/>
      </w:pPr>
      <w:r>
        <w:t xml:space="preserve">Clusterização por padrão de consumo observável (nunca atributo sensível — RN05); número de clusters a definir experimentalmente.</w:t>
      </w:r>
    </w:p>
    <w:p>
      <w:pPr>
        <w:pStyle w:val="Heading1"/>
        <w:spacing w:after="150" w:before="300"/>
      </w:pPr>
      <w:r>
        <w:t xml:space="preserve">4. Requisitos Não Funcionais (RNF)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1450"/>
        <w:gridCol w:w="3000"/>
      </w:tblGrid>
      <w:tr>
        <w:tc>
          <w:tcPr>
            <w:tcW w:type="dxa" w:w="700"/>
            <w:shd w:fill="D9D9D9" w:val="clear"/>
          </w:tcPr>
          <w:p>
            <w:r>
              <w:rPr>
                <w:b/>
                <w:bCs/>
              </w:rPr>
              <w:t xml:space="preserve">ID</w:t>
            </w:r>
          </w:p>
        </w:tc>
        <w:tc>
          <w:tcPr>
            <w:tcW w:type="dxa" w:w="4200"/>
            <w:shd w:fill="D9D9D9" w:val="clear"/>
          </w:tcPr>
          <w:p>
            <w:r>
              <w:rPr>
                <w:b/>
                <w:bCs/>
              </w:rPr>
              <w:t xml:space="preserve">Descrição</w:t>
            </w:r>
          </w:p>
        </w:tc>
        <w:tc>
          <w:tcPr>
            <w:tcW w:type="dxa" w:w="1450"/>
            <w:shd w:fill="D9D9D9" w:val="clear"/>
          </w:tcPr>
          <w:p>
            <w:r>
              <w:rPr>
                <w:b/>
                <w:bCs/>
              </w:rPr>
              <w:t xml:space="preserve">Categoria</w:t>
            </w:r>
          </w:p>
        </w:tc>
        <w:tc>
          <w:tcPr>
            <w:tcW w:type="dxa" w:w="3000"/>
            <w:shd w:fill="D9D9D9" w:val="clear"/>
          </w:tcPr>
          <w:p>
            <w:r>
              <w:rPr>
                <w:b/>
                <w:bCs/>
              </w:rPr>
              <w:t xml:space="preserve">Justificativa / Origem</w:t>
            </w:r>
          </w:p>
        </w:tc>
      </w:tr>
      <w:tr>
        <w:tc>
          <w:tcPr>
            <w:tcW w:type="dxa" w:w="700"/>
          </w:tcPr>
          <w:p>
            <w:r>
              <w:rPr>
                <w:b w:val="false"/>
                <w:bCs w:val="false"/>
              </w:rPr>
              <w:t xml:space="preserve">RNF01</w:t>
            </w:r>
          </w:p>
        </w:tc>
        <w:tc>
          <w:tcPr>
            <w:tcW w:type="dxa" w:w="4200"/>
          </w:tcPr>
          <w:p>
            <w:r>
              <w:rPr>
                <w:b w:val="false"/>
                <w:bCs w:val="false"/>
              </w:rPr>
              <w:t xml:space="preserve">O sistema deve refletir um novo pedido registrado na comanda em, no máximo, 2 segundos.</w:t>
            </w:r>
          </w:p>
        </w:tc>
        <w:tc>
          <w:tcPr>
            <w:tcW w:type="dxa" w:w="1450"/>
          </w:tcPr>
          <w:p>
            <w:r>
              <w:rPr>
                <w:b w:val="false"/>
                <w:bCs w:val="false"/>
              </w:rPr>
              <w:t xml:space="preserve">Desempenho</w:t>
            </w:r>
          </w:p>
        </w:tc>
        <w:tc>
          <w:tcPr>
            <w:tcW w:type="dxa" w:w="3000"/>
          </w:tcPr>
          <w:p>
            <w:r>
              <w:rPr>
                <w:b w:val="false"/>
                <w:bCs w:val="false"/>
              </w:rPr>
              <w:t xml:space="preserve">Meta inicial baseada nos limiares de tempo de resposta de Nielsen (ver Referências Bibliográficas) — acima de ~1s a percepção de fluxo contínuo já é afetada; 2s considera a latência de rede de um backend ASP.NET Core (não é resposta 100% local). Maior incômodo relatado pelos clientes; confirmado na entrevista (travamentos do sistema atual). A validar/refinar durante os testes de usabilidade (Etapa 4 / M6).</w:t>
            </w:r>
          </w:p>
        </w:tc>
      </w:tr>
      <w:tr>
        <w:tc>
          <w:tcPr>
            <w:tcW w:type="dxa" w:w="700"/>
          </w:tcPr>
          <w:p>
            <w:r>
              <w:rPr>
                <w:b w:val="false"/>
                <w:bCs w:val="false"/>
              </w:rPr>
              <w:t xml:space="preserve">RNF02</w:t>
            </w:r>
          </w:p>
        </w:tc>
        <w:tc>
          <w:tcPr>
            <w:tcW w:type="dxa" w:w="4200"/>
          </w:tcPr>
          <w:p>
            <w:r>
              <w:rPr>
                <w:b w:val="false"/>
                <w:bCs w:val="false"/>
              </w:rPr>
              <w:t xml:space="preserve">A interface de comanda do Garçom deve permitir abrir mesa e registrar um item de pedido em, no máximo, 5 toques no total (2 para abrir mesa: selecionar mesa + confirmar composição sugerida; 3 para registrar item: categoria → item → confirmar).</w:t>
            </w:r>
          </w:p>
        </w:tc>
        <w:tc>
          <w:tcPr>
            <w:tcW w:type="dxa" w:w="1450"/>
          </w:tcPr>
          <w:p>
            <w:r>
              <w:rPr>
                <w:b w:val="false"/>
                <w:bCs w:val="false"/>
              </w:rPr>
              <w:t xml:space="preserve">Usabilidade</w:t>
            </w:r>
          </w:p>
        </w:tc>
        <w:tc>
          <w:tcPr>
            <w:tcW w:type="dxa" w:w="3000"/>
          </w:tcPr>
          <w:p>
            <w:r>
              <w:rPr>
                <w:b w:val="false"/>
                <w:bCs w:val="false"/>
              </w:rPr>
              <w:t xml:space="preserve">Meta inicial baseada no princípio de minimizar passos em tarefas frequentes/repetitivas (heurísticas de usabilidade, Nielsen). Ligada ao achado de demora/retrabalho da entrevista. A validar/refinar durante os testes de usabilidade (Etapa 4 / M6).</w:t>
            </w:r>
          </w:p>
        </w:tc>
      </w:tr>
      <w:tr>
        <w:tc>
          <w:tcPr>
            <w:tcW w:type="dxa" w:w="700"/>
          </w:tcPr>
          <w:p>
            <w:r>
              <w:rPr>
                <w:b w:val="false"/>
                <w:bCs w:val="false"/>
              </w:rPr>
              <w:t xml:space="preserve">RNF03</w:t>
            </w:r>
          </w:p>
        </w:tc>
        <w:tc>
          <w:tcPr>
            <w:tcW w:type="dxa" w:w="4200"/>
          </w:tcPr>
          <w:p>
            <w:r>
              <w:rPr>
                <w:b w:val="false"/>
                <w:bCs w:val="false"/>
              </w:rPr>
              <w:t xml:space="preserve">Dados pessoais do cliente devem ser armazenados com minimização e acesso restrito por papel.</w:t>
            </w:r>
          </w:p>
        </w:tc>
        <w:tc>
          <w:tcPr>
            <w:tcW w:type="dxa" w:w="1450"/>
          </w:tcPr>
          <w:p>
            <w:r>
              <w:rPr>
                <w:b w:val="false"/>
                <w:bCs w:val="false"/>
              </w:rPr>
              <w:t xml:space="preserve">Privacidade / LGPD</w:t>
            </w:r>
          </w:p>
        </w:tc>
        <w:tc>
          <w:tcPr>
            <w:tcW w:type="dxa" w:w="3000"/>
          </w:tcPr>
          <w:p>
            <w:r>
              <w:rPr>
                <w:b w:val="false"/>
                <w:bCs w:val="false"/>
              </w:rPr>
              <w:t xml:space="preserve">Princípio de minimização (LGPD, Art. 6º).</w:t>
            </w:r>
          </w:p>
        </w:tc>
      </w:tr>
      <w:tr>
        <w:tc>
          <w:tcPr>
            <w:tcW w:type="dxa" w:w="700"/>
          </w:tcPr>
          <w:p>
            <w:r>
              <w:rPr>
                <w:b w:val="false"/>
                <w:bCs w:val="false"/>
              </w:rPr>
              <w:t xml:space="preserve">RNF04</w:t>
            </w:r>
          </w:p>
        </w:tc>
        <w:tc>
          <w:tcPr>
            <w:tcW w:type="dxa" w:w="4200"/>
          </w:tcPr>
          <w:p>
            <w:r>
              <w:rPr>
                <w:b w:val="false"/>
                <w:bCs w:val="false"/>
              </w:rPr>
              <w:t xml:space="preserve">Cada papel (Gerente, Coordenador, Metre, Garçom) deve ter permissões de leitura/escrita distintas.</w:t>
            </w:r>
          </w:p>
        </w:tc>
        <w:tc>
          <w:tcPr>
            <w:tcW w:type="dxa" w:w="1450"/>
          </w:tcPr>
          <w:p>
            <w:r>
              <w:rPr>
                <w:b w:val="false"/>
                <w:bCs w:val="false"/>
              </w:rPr>
              <w:t xml:space="preserve">Segurança</w:t>
            </w:r>
          </w:p>
        </w:tc>
        <w:tc>
          <w:tcPr>
            <w:tcW w:type="dxa" w:w="3000"/>
          </w:tcPr>
          <w:p>
            <w:r>
              <w:rPr>
                <w:b w:val="false"/>
                <w:bCs w:val="false"/>
              </w:rPr>
              <w:t xml:space="preserve">RBAC, já modelado para o front-of-house.</w:t>
            </w:r>
          </w:p>
        </w:tc>
      </w:tr>
      <w:tr>
        <w:tc>
          <w:tcPr>
            <w:tcW w:type="dxa" w:w="700"/>
          </w:tcPr>
          <w:p>
            <w:r>
              <w:rPr>
                <w:b w:val="false"/>
                <w:bCs w:val="false"/>
              </w:rPr>
              <w:t xml:space="preserve">RNF05</w:t>
            </w:r>
          </w:p>
        </w:tc>
        <w:tc>
          <w:tcPr>
            <w:tcW w:type="dxa" w:w="4200"/>
          </w:tcPr>
          <w:p>
            <w:r>
              <w:rPr>
                <w:b w:val="false"/>
                <w:bCs w:val="false"/>
              </w:rPr>
              <w:t xml:space="preserve">O núcleo do módulo de comanda deve estar operacional durante todo o horário de funcionamento.</w:t>
            </w:r>
          </w:p>
        </w:tc>
        <w:tc>
          <w:tcPr>
            <w:tcW w:type="dxa" w:w="1450"/>
          </w:tcPr>
          <w:p>
            <w:r>
              <w:rPr>
                <w:b w:val="false"/>
                <w:bCs w:val="false"/>
              </w:rPr>
              <w:t xml:space="preserve">Disponibilidade</w:t>
            </w:r>
          </w:p>
        </w:tc>
        <w:tc>
          <w:tcPr>
            <w:tcW w:type="dxa" w:w="3000"/>
          </w:tcPr>
          <w:p>
            <w:r>
              <w:rPr>
                <w:b w:val="false"/>
                <w:bCs w:val="false"/>
              </w:rPr>
              <w:t xml:space="preserve">Alimenta os blocos analíticos.</w:t>
            </w:r>
          </w:p>
        </w:tc>
      </w:tr>
    </w:tbl>
    <w:p>
      <w:pPr>
        <w:pStyle w:val="Heading1"/>
        <w:spacing w:after="150" w:before="300"/>
      </w:pPr>
      <w:r>
        <w:t xml:space="preserve">5. Regras de Negócio (RN)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700"/>
        <w:gridCol w:w="4700"/>
        <w:gridCol w:w="3950"/>
      </w:tblGrid>
      <w:tr>
        <w:tc>
          <w:tcPr>
            <w:tcW w:type="dxa" w:w="700"/>
            <w:shd w:fill="D9D9D9" w:val="clear"/>
          </w:tcPr>
          <w:p>
            <w:r>
              <w:rPr>
                <w:b/>
                <w:bCs/>
              </w:rPr>
              <w:t xml:space="preserve">ID</w:t>
            </w:r>
          </w:p>
        </w:tc>
        <w:tc>
          <w:tcPr>
            <w:tcW w:type="dxa" w:w="4700"/>
            <w:shd w:fill="D9D9D9" w:val="clear"/>
          </w:tcPr>
          <w:p>
            <w:r>
              <w:rPr>
                <w:b/>
                <w:bCs/>
              </w:rPr>
              <w:t xml:space="preserve">Regra</w:t>
            </w:r>
          </w:p>
        </w:tc>
        <w:tc>
          <w:tcPr>
            <w:tcW w:type="dxa" w:w="3950"/>
            <w:shd w:fill="D9D9D9" w:val="clear"/>
          </w:tcPr>
          <w:p>
            <w:r>
              <w:rPr>
                <w:b/>
                <w:bCs/>
              </w:rPr>
              <w:t xml:space="preserve">Racional</w:t>
            </w:r>
          </w:p>
        </w:tc>
      </w:tr>
      <w:tr>
        <w:tc>
          <w:tcPr>
            <w:tcW w:type="dxa" w:w="700"/>
          </w:tcPr>
          <w:p>
            <w:r>
              <w:rPr>
                <w:b w:val="false"/>
                <w:bCs w:val="false"/>
              </w:rPr>
              <w:t xml:space="preserve">RN01</w:t>
            </w:r>
          </w:p>
        </w:tc>
        <w:tc>
          <w:tcPr>
            <w:tcW w:type="dxa" w:w="4700"/>
          </w:tcPr>
          <w:p>
            <w:r>
              <w:rPr>
                <w:b w:val="false"/>
                <w:bCs w:val="false"/>
              </w:rPr>
              <w:t xml:space="preserve">Composição da mesa: Solo (1) / Casal (2) / Grupo pequeno (3–4, sem item infantil) / Família (3+, com item infantil) / Grupo grande (5+).</w:t>
            </w:r>
          </w:p>
        </w:tc>
        <w:tc>
          <w:tcPr>
            <w:tcW w:type="dxa" w:w="3950"/>
          </w:tcPr>
          <w:p>
            <w:r>
              <w:rPr>
                <w:b w:val="false"/>
                <w:bCs w:val="false"/>
              </w:rPr>
              <w:t xml:space="preserve">Fechado em 13/08/2026; confirmado pela entrevista.</w:t>
            </w:r>
          </w:p>
        </w:tc>
      </w:tr>
      <w:tr>
        <w:tc>
          <w:tcPr>
            <w:tcW w:type="dxa" w:w="700"/>
          </w:tcPr>
          <w:p>
            <w:r>
              <w:rPr>
                <w:b w:val="false"/>
                <w:bCs w:val="false"/>
              </w:rPr>
              <w:t xml:space="preserve">RN02</w:t>
            </w:r>
          </w:p>
        </w:tc>
        <w:tc>
          <w:tcPr>
            <w:tcW w:type="dxa" w:w="4700"/>
          </w:tcPr>
          <w:p>
            <w:r>
              <w:rPr>
                <w:b w:val="false"/>
                <w:bCs w:val="false"/>
              </w:rPr>
              <w:t xml:space="preserve">Uma comanda só pode ser fechada se todos os itens estiverem "entregue" ou com cancelamento justificado; itens pendentes ficam visíveis como lembrete ativo.</w:t>
            </w:r>
          </w:p>
        </w:tc>
        <w:tc>
          <w:tcPr>
            <w:tcW w:type="dxa" w:w="3950"/>
          </w:tcPr>
          <w:p>
            <w:r>
              <w:rPr>
                <w:b w:val="false"/>
                <w:bCs w:val="false"/>
              </w:rPr>
              <w:t xml:space="preserve">Refinado pela entrevista — evita itens esquecidos (ex.: água).</w:t>
            </w:r>
          </w:p>
        </w:tc>
      </w:tr>
      <w:tr>
        <w:tc>
          <w:tcPr>
            <w:tcW w:type="dxa" w:w="700"/>
          </w:tcPr>
          <w:p>
            <w:r>
              <w:rPr>
                <w:b w:val="false"/>
                <w:bCs w:val="false"/>
              </w:rPr>
              <w:t xml:space="preserve">RN03</w:t>
            </w:r>
          </w:p>
        </w:tc>
        <w:tc>
          <w:tcPr>
            <w:tcW w:type="dxa" w:w="4700"/>
          </w:tcPr>
          <w:p>
            <w:r>
              <w:rPr>
                <w:b w:val="false"/>
                <w:bCs w:val="false"/>
              </w:rPr>
              <w:t xml:space="preserve">A alocação de garçons deve equilibrar o faturamento acumulado por garçom, ponderado pelo faturamento médio histórico da praça, e considerar o tempo desde a última alocação em praça de alto potencial (soma ponderada, w1+w2=1).</w:t>
            </w:r>
          </w:p>
        </w:tc>
        <w:tc>
          <w:tcPr>
            <w:tcW w:type="dxa" w:w="3950"/>
          </w:tcPr>
          <w:p>
            <w:r>
              <w:rPr>
                <w:b w:val="false"/>
                <w:bCs w:val="false"/>
              </w:rPr>
              <w:t xml:space="preserve">Estrutura final validada com o orientador (27/08/2026) — issue #54 fechada. Pesos numéricos pendentes de calibração (issue #55, dado simulado aceito).</w:t>
            </w:r>
          </w:p>
        </w:tc>
      </w:tr>
      <w:tr>
        <w:tc>
          <w:tcPr>
            <w:tcW w:type="dxa" w:w="700"/>
          </w:tcPr>
          <w:p>
            <w:r>
              <w:rPr>
                <w:b w:val="false"/>
                <w:bCs w:val="false"/>
              </w:rPr>
              <w:t xml:space="preserve">RN04</w:t>
            </w:r>
          </w:p>
        </w:tc>
        <w:tc>
          <w:tcPr>
            <w:tcW w:type="dxa" w:w="4700"/>
          </w:tcPr>
          <w:p>
            <w:r>
              <w:rPr>
                <w:b w:val="false"/>
                <w:bCs w:val="false"/>
              </w:rPr>
              <w:t xml:space="preserve">Dados pessoais do cliente só acessíveis por Garçom/Metre no contexto da mesa ativa; fora disso, apenas agregado/anonimizado.</w:t>
            </w:r>
          </w:p>
        </w:tc>
        <w:tc>
          <w:tcPr>
            <w:tcW w:type="dxa" w:w="3950"/>
          </w:tcPr>
          <w:p>
            <w:r>
              <w:rPr>
                <w:b w:val="false"/>
                <w:bCs w:val="false"/>
              </w:rPr>
              <w:t xml:space="preserve">LGPD, Art. 6º.</w:t>
            </w:r>
          </w:p>
        </w:tc>
      </w:tr>
      <w:tr>
        <w:tc>
          <w:tcPr>
            <w:tcW w:type="dxa" w:w="700"/>
          </w:tcPr>
          <w:p>
            <w:r>
              <w:rPr>
                <w:b w:val="false"/>
                <w:bCs w:val="false"/>
              </w:rPr>
              <w:t xml:space="preserve">RN05</w:t>
            </w:r>
          </w:p>
        </w:tc>
        <w:tc>
          <w:tcPr>
            <w:tcW w:type="dxa" w:w="4700"/>
          </w:tcPr>
          <w:p>
            <w:r>
              <w:rPr>
                <w:b w:val="false"/>
                <w:bCs w:val="false"/>
              </w:rPr>
              <w:t xml:space="preserve">O sistema não deve capturar, inferir ou armazenar atributos sensíveis do cliente para segmentação.</w:t>
            </w:r>
          </w:p>
        </w:tc>
        <w:tc>
          <w:tcPr>
            <w:tcW w:type="dxa" w:w="3950"/>
          </w:tcPr>
          <w:p>
            <w:r>
              <w:rPr>
                <w:b w:val="false"/>
                <w:bCs w:val="false"/>
              </w:rPr>
              <w:t xml:space="preserve">Risco de viés/discriminação; dado de saúde é sensível por definição legal (LGPD, Art. 5º, II).</w:t>
            </w:r>
          </w:p>
        </w:tc>
      </w:tr>
    </w:tbl>
    <w:p>
      <w:pPr>
        <w:pStyle w:val="Heading2"/>
        <w:spacing w:after="120" w:before="250"/>
      </w:pPr>
      <w:r>
        <w:t xml:space="preserve">5.1 Resolução da inconsistência entre RF12 e RN04/RN05 (issue #53)</w:t>
      </w:r>
    </w:p>
    <w:p>
      <w:pPr>
        <w:spacing w:after="150"/>
      </w:pPr>
      <w:r>
        <w:t xml:space="preserve">A versão anterior deste documento incluía RF12 — "o sistema deve permitir ao Cliente solicitar a exclusão do seu histórico de pedidos a qualquer momento", justificado pelo direito ao esquecimento (LGPD). Esse requisito pressupunha um histórico de pedidos persistente e vinculado ao cliente entre visitas diferentes — o que contradiz RN04 e RN05, que proíbem exatamente esse tipo de identificador persistente.</w:t>
      </w:r>
    </w:p>
    <w:p>
      <w:pPr>
        <w:spacing w:after="150"/>
      </w:pPr>
      <w:r>
        <w:t xml:space="preserve">Decisão (23/08/2026): RF12 foi removido do escopo. Como o sistema nunca vincula pedidos a um identificador persistente do cliente — apenas à mesa/comanda da sessão ativa —, não existe, depois do fechamento da comanda e da agregação dos dados, nenhum dado pessoal individualizável para excluir. A minimização de dados por desenho (RNF03 + RN04 + RN05) já atende ao princípio por trás do direito de eliminação (LGPD, Art. 18), tornando uma funcionalidade dedicada de exclusão desnecessária.</w:t>
      </w:r>
    </w:p>
    <w:p>
      <w:pPr>
        <w:spacing w:after="150"/>
      </w:pPr>
      <w:r>
        <w:t xml:space="preserve">Confirmação do orientador (27/08/2026): o argumento acima foi validado como aceitável para a defesa de banca.</w:t>
      </w:r>
    </w:p>
    <w:p>
      <w:pPr>
        <w:pStyle w:val="Heading2"/>
        <w:spacing w:after="120" w:before="250"/>
      </w:pPr>
      <w:r>
        <w:t xml:space="preserve">5.2 Programa de fidelização — decisão de manter fora do escopo do TG</w:t>
      </w:r>
    </w:p>
    <w:p>
      <w:pPr>
        <w:spacing w:after="150"/>
      </w:pPr>
      <w:r>
        <w:t xml:space="preserve">Durante a reunião de 27/08/2026, discutiu-se a possibilidade de introduzir, ainda no MVP, um programa de fidelização com cadastro voluntário do cliente (aceite de termos via cardápio digital, vínculo à comanda por CPF ou QR code, histórico de pedidos e restrições persistente entre visitas, e captura de feedback quantitativo).</w:t>
      </w:r>
    </w:p>
    <w:p>
      <w:pPr>
        <w:spacing w:after="150"/>
      </w:pPr>
      <w:r>
        <w:t xml:space="preserve">Decisão: mantido fora do escopo do TG, como feature futura pós-defesa — mesmo tratamento dado à integração com a cozinha. Racional: o projeto de pesquisa formal (Gastra.pdf, seção de LGPD) já compromete o GASTRA a priorizar análises agregadas e anonimização de dados, limitando a coleta ao estritamente necessário às finalidades analíticas. Um identificador persistente de cliente (CPF/QR) contradiz esse compromisso formal — não é uma extensão natural do escopo atual, é uma mudança deliberada de premissa de privacidade, que exigiria nova validação formal de escopo (reabertura de M2) e não é compatível com a janela de tempo restante do cronograma oficial do TGII.</w:t>
      </w:r>
    </w:p>
    <w:p>
      <w:pPr>
        <w:spacing w:after="150"/>
      </w:pPr>
      <w:r>
        <w:t xml:space="preserve">Isso reforça, e não enfraquece, a decisão de clusterização por mesa/comanda (RF09): trabalhar com sinais observáveis por sessão (tamanho do grupo, horário, itens pedidos, restrição comunicada voluntariamente — RN05) é a implementação correta do compromisso de minimização já assumido no projeto formal, não uma versão reduzida da técnica.</w:t>
      </w:r>
    </w:p>
    <w:p>
      <w:pPr>
        <w:pStyle w:val="Heading1"/>
        <w:spacing w:after="150" w:before="300"/>
      </w:pPr>
      <w:r>
        <w:t xml:space="preserve">6. Pendências restantes</w:t>
      </w:r>
    </w:p>
    <w:p>
      <w:pPr>
        <w:pStyle w:val="ListParagraph"/>
        <w:numPr>
          <w:ilvl w:val="0"/>
          <w:numId w:val="1"/>
        </w:numPr>
        <w:spacing w:after="80"/>
      </w:pPr>
      <w:r>
        <w:t xml:space="preserve">Calibração numérica dos pesos w1/w2 de RN03 (issue #55) — dado simulado aceito pelo orientador como fonte suficiente para o TG.</w:t>
      </w:r>
    </w:p>
    <w:p>
      <w:pPr>
        <w:pStyle w:val="ListParagraph"/>
        <w:numPr>
          <w:ilvl w:val="0"/>
          <w:numId w:val="1"/>
        </w:numPr>
        <w:spacing w:after="80"/>
      </w:pPr>
      <w:r>
        <w:t xml:space="preserve">Calibração numérica dos limiares de suporte/confiança (RF09) — depende de volume de dado.</w:t>
      </w:r>
    </w:p>
    <w:p>
      <w:pPr>
        <w:pStyle w:val="ListParagraph"/>
        <w:numPr>
          <w:ilvl w:val="0"/>
          <w:numId w:val="1"/>
        </w:numPr>
        <w:spacing w:after="80"/>
      </w:pPr>
      <w:r>
        <w:t xml:space="preserve">Validação empírica dos valores de RNF01 (2s) e RNF02 (5 toques) durante os testes de usabilidade (Etapa 4 / M6).</w:t>
      </w:r>
    </w:p>
    <w:p>
      <w:pPr>
        <w:spacing w:before="400"/>
        <w:jc w:val="center"/>
      </w:pPr>
      <w:r>
        <w:t xml:space="preserve">Página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2026-08-28T00:11:55.740Z</dcterms:created>
  <dcterms:modified xsi:type="dcterms:W3CDTF">2026-08-28T00:11:55.740Z</dcterms:modified>
</cp:coreProperties>
</file>

<file path=docProps/custom.xml><?xml version="1.0" encoding="utf-8"?>
<Properties xmlns="http://schemas.openxmlformats.org/officeDocument/2006/custom-properties" xmlns:vt="http://schemas.openxmlformats.org/officeDocument/2006/docPropsVTypes"/>
</file>