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GASTRA</w:t>
      </w:r>
    </w:p>
    <w:p>
      <w:pPr>
        <w:pStyle w:val="Heading1"/>
      </w:pPr>
      <w:r>
        <w:t xml:space="preserve">Pendências, Histórico e Pauta com o Orientador</w:t>
      </w:r>
    </w:p>
    <w:p>
      <w:pPr>
        <w:spacing w:after="0"/>
      </w:pPr>
      <w:r>
        <w:t xml:space="preserve">TG — FATEC Araraquara</w:t>
      </w:r>
    </w:p>
    <w:p>
      <w:r>
        <w:t xml:space="preserve">Autores: Daniel Velluto Bento e Pedro Luis Otrente de Campos</w:t>
      </w:r>
    </w:p>
    <w:p>
      <w:r>
        <w:t xml:space="preserve">Orientador: Prof. Me. Leonardo José de Lima Ferrucci</w:t>
      </w:r>
    </w:p>
    <w:p>
      <w:pPr>
        <w:spacing w:after="300"/>
      </w:pPr>
      <w:r>
        <w:t xml:space="preserve">Versão: 27/08/2026</w:t>
      </w:r>
    </w:p>
    <w:p>
      <w:pPr>
        <w:pStyle w:val="Heading1"/>
        <w:spacing w:after="150" w:before="300"/>
      </w:pPr>
      <w:r>
        <w:t xml:space="preserve">1. Sobre este documento</w:t>
      </w:r>
    </w:p>
    <w:p>
      <w:pPr>
        <w:spacing w:after="150"/>
      </w:pPr>
      <w:r>
        <w:t xml:space="preserve">Este documento concentra tudo o que precisa ser tratado com o orientador — pendências ativas, perguntas específicas, e o histórico de reuniões, decisões e aprovações já obtidas. Ele será atualizado a cada rodada de contato com o Prof. Ferrucci, para que nenhuma reunião fique sem pauta clara e que não haja perca do registro do que já foi discutido.</w:t>
      </w:r>
    </w:p>
    <w:p>
      <w:pPr>
        <w:pStyle w:val="Heading1"/>
        <w:spacing w:after="150" w:before="300"/>
      </w:pPr>
      <w:r>
        <w:t xml:space="preserve">2. Pendências ativas com o orientador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600"/>
        <w:gridCol w:w="2550"/>
      </w:tblGrid>
      <w:tr>
        <w:tc>
          <w:tcPr>
            <w:tcW w:type="dxa" w:w="2100"/>
            <w:shd w:fill="D9D9D9" w:val="clear"/>
          </w:tcPr>
          <w:p>
            <w:r>
              <w:rPr>
                <w:b/>
                <w:bCs/>
              </w:rPr>
              <w:t xml:space="preserve">Pendência</w:t>
            </w:r>
          </w:p>
        </w:tc>
        <w:tc>
          <w:tcPr>
            <w:tcW w:type="dxa" w:w="2100"/>
            <w:shd w:fill="D9D9D9" w:val="clear"/>
          </w:tcPr>
          <w:p>
            <w:r>
              <w:rPr>
                <w:b/>
                <w:bCs/>
              </w:rPr>
              <w:t xml:space="preserve">Relacionado a</w:t>
            </w:r>
          </w:p>
        </w:tc>
        <w:tc>
          <w:tcPr>
            <w:tcW w:type="dxa" w:w="2600"/>
            <w:shd w:fill="D9D9D9" w:val="clear"/>
          </w:tcPr>
          <w:p>
            <w:r>
              <w:rPr>
                <w:b/>
                <w:bCs/>
              </w:rPr>
              <w:t xml:space="preserve">O que precisa do orientador</w:t>
            </w:r>
          </w:p>
        </w:tc>
        <w:tc>
          <w:tcPr>
            <w:tcW w:type="dxa" w:w="2550"/>
            <w:shd w:fill="D9D9D9" w:val="clear"/>
          </w:tcPr>
          <w:p>
            <w:r>
              <w:rPr>
                <w:b/>
                <w:bCs/>
              </w:rPr>
              <w:t xml:space="preserve">Status</w:t>
            </w:r>
          </w:p>
        </w:tc>
      </w:tr>
      <w:tr>
        <w:tc>
          <w:tcPr>
            <w:tcW w:type="dxa" w:w="2100"/>
          </w:tcPr>
          <w:p>
            <w:r>
              <w:rPr>
                <w:b w:val="false"/>
                <w:bCs w:val="false"/>
              </w:rPr>
              <w:t xml:space="preserve">Calibração numérica dos pesos de RN03</w:t>
            </w:r>
          </w:p>
        </w:tc>
        <w:tc>
          <w:tcPr>
            <w:tcW w:type="dxa" w:w="2100"/>
          </w:tcPr>
          <w:p>
            <w:r>
              <w:rPr>
                <w:b w:val="false"/>
                <w:bCs w:val="false"/>
              </w:rPr>
              <w:t xml:space="preserve">Issue #55</w:t>
            </w:r>
          </w:p>
        </w:tc>
        <w:tc>
          <w:tcPr>
            <w:tcW w:type="dxa" w:w="2600"/>
          </w:tcPr>
          <w:p>
            <w:r>
              <w:rPr>
                <w:b w:val="false"/>
                <w:bCs w:val="false"/>
              </w:rPr>
              <w:t xml:space="preserve">Nenhuma ação do orientador necessária no momento — dado simulado já aceito como fonte suficiente (27/08/2026); calibração é trabalho interno da dupla.</w:t>
            </w:r>
          </w:p>
        </w:tc>
        <w:tc>
          <w:tcPr>
            <w:tcW w:type="dxa" w:w="2550"/>
          </w:tcPr>
          <w:p>
            <w:r>
              <w:rPr>
                <w:b w:val="false"/>
                <w:bCs w:val="false"/>
              </w:rPr>
              <w:t xml:space="preserve">Desbloqueada — em andamento</w:t>
            </w:r>
          </w:p>
        </w:tc>
      </w:tr>
      <w:tr>
        <w:tc>
          <w:tcPr>
            <w:tcW w:type="dxa" w:w="2100"/>
          </w:tcPr>
          <w:p>
            <w:r>
              <w:rPr>
                <w:b w:val="false"/>
                <w:bCs w:val="false"/>
              </w:rPr>
              <w:t xml:space="preserve">Reestruturação das Milestones M3–M10 (alinhamento ao cronograma oficial do TGII)</w:t>
            </w:r>
          </w:p>
        </w:tc>
        <w:tc>
          <w:tcPr>
            <w:tcW w:type="dxa" w:w="2100"/>
          </w:tcPr>
          <w:p>
            <w:r>
              <w:rPr>
                <w:b w:val="false"/>
                <w:bCs w:val="false"/>
              </w:rPr>
              <w:t xml:space="preserve">GASTRA_MEMORIA_GITHUB_PROJECTS.md, seção 13</w:t>
            </w:r>
          </w:p>
        </w:tc>
        <w:tc>
          <w:tcPr>
            <w:tcW w:type="dxa" w:w="2600"/>
          </w:tcPr>
          <w:p>
            <w:r>
              <w:rPr>
                <w:b w:val="false"/>
                <w:bCs w:val="false"/>
              </w:rPr>
              <w:t xml:space="preserve">Confirmar se concorda com a lógica de agrupamento dos blocos analíticos (BI+DS+PL+LGPD) em uma única sprint de backend, em vez de milestones sequenciais.</w:t>
            </w:r>
          </w:p>
        </w:tc>
        <w:tc>
          <w:tcPr>
            <w:tcW w:type="dxa" w:w="2550"/>
          </w:tcPr>
          <w:p>
            <w:r>
              <w:rPr>
                <w:b w:val="false"/>
                <w:bCs w:val="false"/>
              </w:rPr>
              <w:t xml:space="preserve">Aberta — validar na próxima reunião</w:t>
            </w:r>
          </w:p>
        </w:tc>
      </w:tr>
    </w:tbl>
    <w:p>
      <w:pPr>
        <w:pStyle w:val="Heading1"/>
        <w:spacing w:after="150" w:before="300"/>
      </w:pPr>
      <w:r>
        <w:t xml:space="preserve">3. Decisões internas já tomadas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5100"/>
        <w:gridCol w:w="2050"/>
      </w:tblGrid>
      <w:tr>
        <w:tc>
          <w:tcPr>
            <w:tcW w:type="dxa" w:w="2200"/>
            <w:shd w:fill="D9D9D9" w:val="clear"/>
          </w:tcPr>
          <w:p>
            <w:r>
              <w:rPr>
                <w:b/>
                <w:bCs/>
              </w:rPr>
              <w:t xml:space="preserve">Decisão</w:t>
            </w:r>
          </w:p>
        </w:tc>
        <w:tc>
          <w:tcPr>
            <w:tcW w:type="dxa" w:w="5100"/>
            <w:shd w:fill="D9D9D9" w:val="clear"/>
          </w:tcPr>
          <w:p>
            <w:r>
              <w:rPr>
                <w:b/>
                <w:bCs/>
              </w:rPr>
              <w:t xml:space="preserve">Resumo</w:t>
            </w:r>
          </w:p>
        </w:tc>
        <w:tc>
          <w:tcPr>
            <w:tcW w:type="dxa" w:w="2050"/>
            <w:shd w:fill="D9D9D9" w:val="clear"/>
          </w:tcPr>
          <w:p>
            <w:r>
              <w:rPr>
                <w:b/>
                <w:bCs/>
              </w:rPr>
              <w:t xml:space="preserve">Data</w:t>
            </w:r>
          </w:p>
        </w:tc>
      </w:tr>
      <w:tr>
        <w:tc>
          <w:tcPr>
            <w:tcW w:type="dxa" w:w="2200"/>
          </w:tcPr>
          <w:p>
            <w:r>
              <w:rPr>
                <w:b w:val="false"/>
                <w:bCs w:val="false"/>
              </w:rPr>
              <w:t xml:space="preserve">Qualificador de restrição alimentar (issue #7)</w:t>
            </w:r>
          </w:p>
        </w:tc>
        <w:tc>
          <w:tcPr>
            <w:tcW w:type="dxa" w:w="5100"/>
          </w:tcPr>
          <w:p>
            <w:r>
              <w:rPr>
                <w:b w:val="false"/>
                <w:bCs w:val="false"/>
              </w:rPr>
              <w:t xml:space="preserve">Modelo híbrido: lista fechada de categorias comuns + campo de observação livre não estruturado, vinculado à comanda ativa.</w:t>
            </w:r>
          </w:p>
        </w:tc>
        <w:tc>
          <w:tcPr>
            <w:tcW w:type="dxa" w:w="2050"/>
          </w:tcPr>
          <w:p>
            <w:r>
              <w:rPr>
                <w:b w:val="false"/>
                <w:bCs w:val="false"/>
              </w:rPr>
              <w:t xml:space="preserve">23/08/2026</w:t>
            </w:r>
          </w:p>
        </w:tc>
      </w:tr>
      <w:tr>
        <w:tc>
          <w:tcPr>
            <w:tcW w:type="dxa" w:w="2200"/>
          </w:tcPr>
          <w:p>
            <w:r>
              <w:rPr>
                <w:b w:val="false"/>
                <w:bCs w:val="false"/>
              </w:rPr>
              <w:t xml:space="preserve">Remoção de RF12 (issue #53)</w:t>
            </w:r>
          </w:p>
        </w:tc>
        <w:tc>
          <w:tcPr>
            <w:tcW w:type="dxa" w:w="5100"/>
          </w:tcPr>
          <w:p>
            <w:r>
              <w:rPr>
                <w:b w:val="false"/>
                <w:bCs w:val="false"/>
              </w:rPr>
              <w:t xml:space="preserve">RF12 (exclusão de histórico de pedidos) removido do escopo — contradizia RN04/RN05 (sem identificador persistente de cliente). Resolvido por minimização de dados por desenho: sem histórico pessoal persistente, não há o que excluir.</w:t>
            </w:r>
          </w:p>
        </w:tc>
        <w:tc>
          <w:tcPr>
            <w:tcW w:type="dxa" w:w="2050"/>
          </w:tcPr>
          <w:p>
            <w:r>
              <w:rPr>
                <w:b w:val="false"/>
                <w:bCs w:val="false"/>
              </w:rPr>
              <w:t xml:space="preserve">23/08/2026</w:t>
            </w:r>
          </w:p>
        </w:tc>
      </w:tr>
      <w:tr>
        <w:tc>
          <w:tcPr>
            <w:tcW w:type="dxa" w:w="2200"/>
          </w:tcPr>
          <w:p>
            <w:r>
              <w:rPr>
                <w:b w:val="false"/>
                <w:bCs w:val="false"/>
              </w:rPr>
              <w:t xml:space="preserve">Consolidação de #26/#54/#55</w:t>
            </w:r>
          </w:p>
        </w:tc>
        <w:tc>
          <w:tcPr>
            <w:tcW w:type="dxa" w:w="5100"/>
          </w:tcPr>
          <w:p>
            <w:r>
              <w:rPr>
                <w:b w:val="false"/>
                <w:bCs w:val="false"/>
              </w:rPr>
              <w:t xml:space="preserve">Issue #26 fechada como duplicata; #54 (validação estrutural) tornou-se sub-issue de #5; #55 (calibração numérica) permanece no Milestone M5, sem sobreposição.</w:t>
            </w:r>
          </w:p>
        </w:tc>
        <w:tc>
          <w:tcPr>
            <w:tcW w:type="dxa" w:w="2050"/>
          </w:tcPr>
          <w:p>
            <w:r>
              <w:rPr>
                <w:b w:val="false"/>
                <w:bCs w:val="false"/>
              </w:rPr>
              <w:t xml:space="preserve">27/08/2026</w:t>
            </w:r>
          </w:p>
        </w:tc>
      </w:tr>
      <w:tr>
        <w:tc>
          <w:tcPr>
            <w:tcW w:type="dxa" w:w="2200"/>
          </w:tcPr>
          <w:p>
            <w:r>
              <w:rPr>
                <w:b w:val="false"/>
                <w:bCs w:val="false"/>
              </w:rPr>
              <w:t xml:space="preserve">Reestruturação das Milestones M3–M10</w:t>
            </w:r>
          </w:p>
        </w:tc>
        <w:tc>
          <w:tcPr>
            <w:tcW w:type="dxa" w:w="5100"/>
          </w:tcPr>
          <w:p>
            <w:r>
              <w:rPr>
                <w:b w:val="false"/>
                <w:bCs w:val="false"/>
              </w:rPr>
              <w:t xml:space="preserve">Milestones do GitHub Projects realinhadas ao Cronograma de Entregas do TGII da coordenação (Cronograma_TGII_ADS_2026.pdf); blocos analíticos (BI/DS/PL/LGPD) tratados como frentes paralelas dentro de uma única sprint de backend, não mais sequenciais.</w:t>
            </w:r>
          </w:p>
        </w:tc>
        <w:tc>
          <w:tcPr>
            <w:tcW w:type="dxa" w:w="2050"/>
          </w:tcPr>
          <w:p>
            <w:r>
              <w:rPr>
                <w:b w:val="false"/>
                <w:bCs w:val="false"/>
              </w:rPr>
              <w:t xml:space="preserve">27/08/2026</w:t>
            </w:r>
          </w:p>
        </w:tc>
      </w:tr>
      <w:tr>
        <w:tc>
          <w:tcPr>
            <w:tcW w:type="dxa" w:w="2200"/>
          </w:tcPr>
          <w:p>
            <w:r>
              <w:rPr>
                <w:b w:val="false"/>
                <w:bCs w:val="false"/>
              </w:rPr>
              <w:t xml:space="preserve">Estrutura final do RN03</w:t>
            </w:r>
          </w:p>
        </w:tc>
        <w:tc>
          <w:tcPr>
            <w:tcW w:type="dxa" w:w="5100"/>
          </w:tcPr>
          <w:p>
            <w:r>
              <w:rPr>
                <w:b w:val="false"/>
                <w:bCs w:val="false"/>
              </w:rPr>
              <w:t xml:space="preserve">Validada com o orientador: dois fatores combinados por soma ponderada (faturamento acumulado ponderado pelo histórico da praça + tempo desde a última alocação em praça de alto potencial). Issue #54 fechada.</w:t>
            </w:r>
          </w:p>
        </w:tc>
        <w:tc>
          <w:tcPr>
            <w:tcW w:type="dxa" w:w="2050"/>
          </w:tcPr>
          <w:p>
            <w:r>
              <w:rPr>
                <w:b w:val="false"/>
                <w:bCs w:val="false"/>
              </w:rPr>
              <w:t xml:space="preserve">27/08/2026</w:t>
            </w:r>
          </w:p>
        </w:tc>
      </w:tr>
      <w:tr>
        <w:tc>
          <w:tcPr>
            <w:tcW w:type="dxa" w:w="2200"/>
          </w:tcPr>
          <w:p>
            <w:r>
              <w:rPr>
                <w:b w:val="false"/>
                <w:bCs w:val="false"/>
              </w:rPr>
              <w:t xml:space="preserve">Fonte de dado para calibração de RN03</w:t>
            </w:r>
          </w:p>
        </w:tc>
        <w:tc>
          <w:tcPr>
            <w:tcW w:type="dxa" w:w="5100"/>
          </w:tcPr>
          <w:p>
            <w:r>
              <w:rPr>
                <w:b w:val="false"/>
                <w:bCs w:val="false"/>
              </w:rPr>
              <w:t xml:space="preserve">Dado simulado, com premissas documentadas pela dupla, confirmado como suficiente para o TG (não é necessário dado real de estabelecimento parceiro). Issue #55 desbloqueada.</w:t>
            </w:r>
          </w:p>
        </w:tc>
        <w:tc>
          <w:tcPr>
            <w:tcW w:type="dxa" w:w="2050"/>
          </w:tcPr>
          <w:p>
            <w:r>
              <w:rPr>
                <w:b w:val="false"/>
                <w:bCs w:val="false"/>
              </w:rPr>
              <w:t xml:space="preserve">27/08/2026</w:t>
            </w:r>
          </w:p>
        </w:tc>
      </w:tr>
      <w:tr>
        <w:tc>
          <w:tcPr>
            <w:tcW w:type="dxa" w:w="2200"/>
          </w:tcPr>
          <w:p>
            <w:r>
              <w:rPr>
                <w:b w:val="false"/>
                <w:bCs w:val="false"/>
              </w:rPr>
              <w:t xml:space="preserve">Argumento de banca para remoção de RF12</w:t>
            </w:r>
          </w:p>
        </w:tc>
        <w:tc>
          <w:tcPr>
            <w:tcW w:type="dxa" w:w="5100"/>
          </w:tcPr>
          <w:p>
            <w:r>
              <w:rPr>
                <w:b w:val="false"/>
                <w:bCs w:val="false"/>
              </w:rPr>
              <w:t xml:space="preserve">Confirmado como aceitável: ausência de funcionalidade de exclusão como resultado deliberado de minimização de dados, não como lacuna do sistema.</w:t>
            </w:r>
          </w:p>
        </w:tc>
        <w:tc>
          <w:tcPr>
            <w:tcW w:type="dxa" w:w="2050"/>
          </w:tcPr>
          <w:p>
            <w:r>
              <w:rPr>
                <w:b w:val="false"/>
                <w:bCs w:val="false"/>
              </w:rPr>
              <w:t xml:space="preserve">27/08/2026</w:t>
            </w:r>
          </w:p>
        </w:tc>
      </w:tr>
      <w:tr>
        <w:tc>
          <w:tcPr>
            <w:tcW w:type="dxa" w:w="2200"/>
          </w:tcPr>
          <w:p>
            <w:r>
              <w:rPr>
                <w:b w:val="false"/>
                <w:bCs w:val="false"/>
              </w:rPr>
              <w:t xml:space="preserve">Programa de fidelização — fora do escopo do TG</w:t>
            </w:r>
          </w:p>
        </w:tc>
        <w:tc>
          <w:tcPr>
            <w:tcW w:type="dxa" w:w="5100"/>
          </w:tcPr>
          <w:p>
            <w:r>
              <w:rPr>
                <w:b w:val="false"/>
                <w:bCs w:val="false"/>
              </w:rPr>
              <w:t xml:space="preserve">Decisão conjunta: cadastro voluntário de cliente com identificador persistente (CPF/QR), histórico entre visitas e recomendação individual fica como feature futura pós-defesa, mesmo tratamento da integração com a cozinha. Contradiz o compromisso de anonimização já assumido no projeto de pesquisa formal (Gastra.pdf).</w:t>
            </w:r>
          </w:p>
        </w:tc>
        <w:tc>
          <w:tcPr>
            <w:tcW w:type="dxa" w:w="2050"/>
          </w:tcPr>
          <w:p>
            <w:r>
              <w:rPr>
                <w:b w:val="false"/>
                <w:bCs w:val="false"/>
              </w:rPr>
              <w:t xml:space="preserve">27/08/2026</w:t>
            </w:r>
          </w:p>
        </w:tc>
      </w:tr>
      <w:tr>
        <w:tc>
          <w:tcPr>
            <w:tcW w:type="dxa" w:w="2200"/>
          </w:tcPr>
          <w:p>
            <w:r>
              <w:rPr>
                <w:b w:val="false"/>
                <w:bCs w:val="false"/>
              </w:rPr>
              <w:t xml:space="preserve">Valores de RNF01/RNF02</w:t>
            </w:r>
          </w:p>
        </w:tc>
        <w:tc>
          <w:tcPr>
            <w:tcW w:type="dxa" w:w="5100"/>
          </w:tcPr>
          <w:p>
            <w:r>
              <w:rPr>
                <w:b w:val="false"/>
                <w:bCs w:val="false"/>
              </w:rPr>
              <w:t xml:space="preserve">Definidos como meta inicial: 2 segundos (RNF01) e 5 toques (RNF02), baseados em referencial de usabilidade (Nielsen); sujeitos a validação empírica na Etapa 4 (M6).</w:t>
            </w:r>
          </w:p>
        </w:tc>
        <w:tc>
          <w:tcPr>
            <w:tcW w:type="dxa" w:w="2050"/>
          </w:tcPr>
          <w:p>
            <w:r>
              <w:rPr>
                <w:b w:val="false"/>
                <w:bCs w:val="false"/>
              </w:rPr>
              <w:t xml:space="preserve">27/08/2026</w:t>
            </w:r>
          </w:p>
        </w:tc>
      </w:tr>
    </w:tbl>
    <w:p>
      <w:pPr>
        <w:pStyle w:val="Heading1"/>
        <w:spacing w:after="150" w:before="300"/>
      </w:pPr>
      <w:r>
        <w:t xml:space="preserve">4. Perguntas específicas para a próxima reunião</w:t>
      </w:r>
    </w:p>
    <w:p>
      <w:pPr>
        <w:spacing w:after="150"/>
      </w:pPr>
      <w:r>
        <w:t xml:space="preserve">Nenhuma pergunta em aberto no momento — todas as perguntas da rodada anterior (RN03, fonte de dado, argumento de RF12, cronograma oficial) foram respondidas na reunião de 27/08/2026 (ver seção 5). Nova pergunta registrada nesta rodada:</w:t>
      </w:r>
    </w:p>
    <w:p>
      <w:pPr>
        <w:pStyle w:val="ListParagraph"/>
        <w:numPr>
          <w:ilvl w:val="0"/>
          <w:numId w:val="1"/>
        </w:numPr>
        <w:spacing w:after="80"/>
      </w:pPr>
      <w:r>
        <w:t xml:space="preserve">Sobre a reestruturação das Milestones M3–M10 (alinhamento ao cronograma oficial da coordenação): o orientador concorda com tratar os quatro blocos analíticos (BI, Ciência de Dados, Programação Linear, LGPD) como frentes paralelas dentro de uma única sprint de backend (Etapa 3, M5), em vez de milestones sequenciais como estava antes?</w:t>
      </w:r>
    </w:p>
    <w:p>
      <w:pPr>
        <w:pStyle w:val="Heading1"/>
        <w:spacing w:after="150" w:before="300"/>
      </w:pPr>
      <w:r>
        <w:t xml:space="preserve">5. Histórico de reuniões e aprovações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550"/>
      </w:tblGrid>
      <w:tr>
        <w:tc>
          <w:tcPr>
            <w:tcW w:type="dxa" w:w="1400"/>
            <w:shd w:fill="D9D9D9" w:val="clear"/>
          </w:tcPr>
          <w:p>
            <w:r>
              <w:rPr>
                <w:b/>
                <w:bCs/>
              </w:rPr>
              <w:t xml:space="preserve">Data</w:t>
            </w:r>
          </w:p>
        </w:tc>
        <w:tc>
          <w:tcPr>
            <w:tcW w:type="dxa" w:w="3400"/>
            <w:shd w:fill="D9D9D9" w:val="clear"/>
          </w:tcPr>
          <w:p>
            <w:r>
              <w:rPr>
                <w:b/>
                <w:bCs/>
              </w:rPr>
              <w:t xml:space="preserve">Assunto</w:t>
            </w:r>
          </w:p>
        </w:tc>
        <w:tc>
          <w:tcPr>
            <w:tcW w:type="dxa" w:w="4550"/>
            <w:shd w:fill="D9D9D9" w:val="clear"/>
          </w:tcPr>
          <w:p>
            <w:r>
              <w:rPr>
                <w:b/>
                <w:bCs/>
              </w:rPr>
              <w:t xml:space="preserve">Resultado</w:t>
            </w:r>
          </w:p>
        </w:tc>
      </w:tr>
      <w:tr>
        <w:tc>
          <w:tcPr>
            <w:tcW w:type="dxa" w:w="1400"/>
          </w:tcPr>
          <w:p>
            <w:r>
              <w:rPr>
                <w:b w:val="false"/>
                <w:bCs w:val="false"/>
              </w:rPr>
              <w:t xml:space="preserve">13/08/2026</w:t>
            </w:r>
          </w:p>
        </w:tc>
        <w:tc>
          <w:tcPr>
            <w:tcW w:type="dxa" w:w="3400"/>
          </w:tcPr>
          <w:p>
            <w:r>
              <w:rPr>
                <w:b w:val="false"/>
                <w:bCs w:val="false"/>
              </w:rPr>
              <w:t xml:space="preserve">Definições iniciais de design (composição de mesa, segmentação sem dado sensível, ferramenta de requisitos)</w:t>
            </w:r>
          </w:p>
        </w:tc>
        <w:tc>
          <w:tcPr>
            <w:tcW w:type="dxa" w:w="4550"/>
          </w:tcPr>
          <w:p>
            <w:r>
              <w:rPr>
                <w:b w:val="false"/>
                <w:bCs w:val="false"/>
              </w:rPr>
              <w:t xml:space="preserve">Aprovado internamente pela dupla.</w:t>
            </w:r>
          </w:p>
        </w:tc>
      </w:tr>
      <w:tr>
        <w:tc>
          <w:tcPr>
            <w:tcW w:type="dxa" w:w="1400"/>
          </w:tcPr>
          <w:p>
            <w:r>
              <w:rPr>
                <w:b w:val="false"/>
                <w:bCs w:val="false"/>
              </w:rPr>
              <w:t xml:space="preserve">21/08/2026</w:t>
            </w:r>
          </w:p>
        </w:tc>
        <w:tc>
          <w:tcPr>
            <w:tcW w:type="dxa" w:w="3400"/>
          </w:tcPr>
          <w:p>
            <w:r>
              <w:rPr>
                <w:b w:val="false"/>
                <w:bCs w:val="false"/>
              </w:rPr>
              <w:t xml:space="preserve">Validação de escopo — módulo de comandas, cardápio digital, comanda em tempo real, lista de pendências, exclusão da integração com a cozinha</w:t>
            </w:r>
          </w:p>
        </w:tc>
        <w:tc>
          <w:tcPr>
            <w:tcW w:type="dxa" w:w="4550"/>
          </w:tcPr>
          <w:p>
            <w:r>
              <w:rPr>
                <w:b w:val="false"/>
                <w:bCs w:val="false"/>
              </w:rPr>
              <w:t xml:space="preserve">Aprovado pelo orientador. Núcleo de comandas validado como adicional (não é foco); extras condicionados a sobrar tempo; cozinha formalmente fora do escopo.</w:t>
            </w:r>
          </w:p>
        </w:tc>
      </w:tr>
      <w:tr>
        <w:tc>
          <w:tcPr>
            <w:tcW w:type="dxa" w:w="1400"/>
          </w:tcPr>
          <w:p>
            <w:r>
              <w:rPr>
                <w:b w:val="false"/>
                <w:bCs w:val="false"/>
              </w:rPr>
              <w:t xml:space="preserve">21/08/2026</w:t>
            </w:r>
          </w:p>
        </w:tc>
        <w:tc>
          <w:tcPr>
            <w:tcW w:type="dxa" w:w="3400"/>
          </w:tcPr>
          <w:p>
            <w:r>
              <w:rPr>
                <w:b w:val="false"/>
                <w:bCs w:val="false"/>
              </w:rPr>
              <w:t xml:space="preserve">Notação de diagramas de apoio</w:t>
            </w:r>
          </w:p>
        </w:tc>
        <w:tc>
          <w:tcPr>
            <w:tcW w:type="dxa" w:w="4550"/>
          </w:tcPr>
          <w:p>
            <w:r>
              <w:rPr>
                <w:b w:val="false"/>
                <w:bCs w:val="false"/>
              </w:rPr>
              <w:t xml:space="preserve">Confirmado com o orientador: UML (casos de uso, classes, sequência, atividades).</w:t>
            </w:r>
          </w:p>
        </w:tc>
      </w:tr>
      <w:tr>
        <w:tc>
          <w:tcPr>
            <w:tcW w:type="dxa" w:w="1400"/>
          </w:tcPr>
          <w:p>
            <w:r>
              <w:rPr>
                <w:b w:val="false"/>
                <w:bCs w:val="false"/>
              </w:rPr>
              <w:t xml:space="preserve">22/08/2026</w:t>
            </w:r>
          </w:p>
        </w:tc>
        <w:tc>
          <w:tcPr>
            <w:tcW w:type="dxa" w:w="3400"/>
          </w:tcPr>
          <w:p>
            <w:r>
              <w:rPr>
                <w:b w:val="false"/>
                <w:bCs w:val="false"/>
              </w:rPr>
              <w:t xml:space="preserve">Estrutura da função objetivo do RN03 (issue #6)</w:t>
            </w:r>
          </w:p>
        </w:tc>
        <w:tc>
          <w:tcPr>
            <w:tcW w:type="dxa" w:w="4550"/>
          </w:tcPr>
          <w:p>
            <w:r>
              <w:rPr>
                <w:b w:val="false"/>
                <w:bCs w:val="false"/>
              </w:rPr>
              <w:t xml:space="preserve">Fechada internamente pela dupla.</w:t>
            </w:r>
          </w:p>
        </w:tc>
      </w:tr>
      <w:tr>
        <w:tc>
          <w:tcPr>
            <w:tcW w:type="dxa" w:w="1400"/>
          </w:tcPr>
          <w:p>
            <w:r>
              <w:rPr>
                <w:b w:val="false"/>
                <w:bCs w:val="false"/>
              </w:rPr>
              <w:t xml:space="preserve">27/08/2026</w:t>
            </w:r>
          </w:p>
        </w:tc>
        <w:tc>
          <w:tcPr>
            <w:tcW w:type="dxa" w:w="3400"/>
          </w:tcPr>
          <w:p>
            <w:r>
              <w:rPr>
                <w:b w:val="false"/>
                <w:bCs w:val="false"/>
              </w:rPr>
              <w:t xml:space="preserve">Validação final de RN03 (estrutura), fonte de dado para calibração, argumento de banca para RF12, e discussão sobre programa de fidelização</w:t>
            </w:r>
          </w:p>
        </w:tc>
        <w:tc>
          <w:tcPr>
            <w:tcW w:type="dxa" w:w="4550"/>
          </w:tcPr>
          <w:p>
            <w:r>
              <w:rPr>
                <w:b w:val="false"/>
                <w:bCs w:val="false"/>
              </w:rPr>
              <w:t xml:space="preserve">RN03: estrutura validada com adição do fator "tempo desde a última alocação em praça de alto potencial", combinado por soma ponderada — issue #54 fechada. Calibração: dado simulado aceito como fonte suficiente — issue #55 desbloqueada. RF12: argumento de minimização de dados aceito como defesa de banca. Fidelização: mantida fora do escopo do TG, feature futura pós-defesa.</w:t>
            </w:r>
          </w:p>
        </w:tc>
      </w:tr>
    </w:tbl>
    <w:p>
      <w:pPr>
        <w:pStyle w:val="Heading1"/>
        <w:spacing w:after="150" w:before="300"/>
      </w:pPr>
      <w:r>
        <w:t xml:space="preserve">6. Regras de atualização deste documento</w:t>
      </w:r>
    </w:p>
    <w:p>
      <w:pPr>
        <w:pStyle w:val="ListParagraph"/>
        <w:numPr>
          <w:ilvl w:val="0"/>
          <w:numId w:val="1"/>
        </w:numPr>
        <w:spacing w:after="80"/>
      </w:pPr>
      <w:r>
        <w:t xml:space="preserve">Toda reunião com o orientador gera uma linha nova na seção 5, mesmo que o assunto pareça menor.</w:t>
      </w:r>
    </w:p>
    <w:p>
      <w:pPr>
        <w:pStyle w:val="ListParagraph"/>
        <w:numPr>
          <w:ilvl w:val="0"/>
          <w:numId w:val="1"/>
        </w:numPr>
        <w:spacing w:after="80"/>
      </w:pPr>
      <w:r>
        <w:t xml:space="preserve">Toda pendência resolvida sai da seção 2 e vira uma linha na seção 5, com a data e o resultado.</w:t>
      </w:r>
    </w:p>
    <w:p>
      <w:pPr>
        <w:pStyle w:val="ListParagraph"/>
        <w:numPr>
          <w:ilvl w:val="0"/>
          <w:numId w:val="1"/>
        </w:numPr>
        <w:spacing w:after="80"/>
      </w:pPr>
      <w:r>
        <w:t xml:space="preserve">Perguntas respondidas saem da seção 4 e, se geram uma decisão nova, essa decisão é refletida no GASTRA_STATUS.md e nos documentos de requisitos no mesmo commit — este documento não substitui a atualização dos documentos formais, só organiza a comunicação com o orientador.</w:t>
      </w:r>
    </w:p>
    <w:p>
      <w:pPr>
        <w:spacing w:before="400"/>
        <w:jc w:val="center"/>
      </w:pPr>
      <w:r>
        <w:t xml:space="preserve">Página 1 de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2026-08-28T00:11:55.821Z</dcterms:created>
  <dcterms:modified xsi:type="dcterms:W3CDTF">2026-08-28T00:11:55.821Z</dcterms:modified>
</cp:coreProperties>
</file>

<file path=docProps/custom.xml><?xml version="1.0" encoding="utf-8"?>
<Properties xmlns="http://schemas.openxmlformats.org/officeDocument/2006/custom-properties" xmlns:vt="http://schemas.openxmlformats.org/officeDocument/2006/docPropsVTypes"/>
</file>