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8653" w14:textId="77777777" w:rsidR="00AF0C83" w:rsidRDefault="00000000" w:rsidP="00C0526C">
      <w:pPr>
        <w:spacing w:after="60"/>
      </w:pPr>
      <w:r>
        <w:rPr>
          <w:b/>
          <w:bCs/>
          <w:sz w:val="40"/>
          <w:szCs w:val="40"/>
        </w:rPr>
        <w:t>GASTRA</w:t>
      </w:r>
    </w:p>
    <w:p w14:paraId="388F8654" w14:textId="77777777" w:rsidR="00AF0C83" w:rsidRDefault="00000000" w:rsidP="00C0526C">
      <w:pPr>
        <w:spacing w:after="240"/>
      </w:pPr>
      <w:r>
        <w:rPr>
          <w:b/>
          <w:bCs/>
          <w:sz w:val="30"/>
          <w:szCs w:val="30"/>
        </w:rPr>
        <w:t>Arquitetura e Tecnologias</w:t>
      </w:r>
    </w:p>
    <w:p w14:paraId="388F8655" w14:textId="77777777" w:rsidR="00AF0C83" w:rsidRDefault="00000000" w:rsidP="00C0526C">
      <w:pPr>
        <w:spacing w:after="40"/>
      </w:pPr>
      <w:r>
        <w:rPr>
          <w:sz w:val="22"/>
          <w:szCs w:val="22"/>
        </w:rPr>
        <w:t>TG — FATEC Araraquara</w:t>
      </w:r>
    </w:p>
    <w:p w14:paraId="388F8656" w14:textId="77777777" w:rsidR="00AF0C83" w:rsidRDefault="00000000" w:rsidP="00C0526C">
      <w:pPr>
        <w:spacing w:after="40"/>
      </w:pPr>
      <w:r>
        <w:rPr>
          <w:sz w:val="22"/>
          <w:szCs w:val="22"/>
        </w:rPr>
        <w:t>Autores: Daniel Velluto Bento e Pedro Luis Otrente de Campos</w:t>
      </w:r>
    </w:p>
    <w:p w14:paraId="388F8657" w14:textId="77777777" w:rsidR="00AF0C83" w:rsidRDefault="00000000" w:rsidP="00C0526C">
      <w:pPr>
        <w:spacing w:after="360"/>
      </w:pPr>
      <w:r>
        <w:rPr>
          <w:sz w:val="22"/>
          <w:szCs w:val="22"/>
        </w:rPr>
        <w:t>Orientador: Prof. Me. Leonardo José de Lima Ferrucci</w:t>
      </w:r>
    </w:p>
    <w:p w14:paraId="388F8658" w14:textId="77777777" w:rsidR="00AF0C83" w:rsidRDefault="00000000">
      <w:pPr>
        <w:pStyle w:val="Ttulo1"/>
        <w:spacing w:before="320" w:after="160"/>
      </w:pPr>
      <w:r>
        <w:rPr>
          <w:b/>
          <w:bCs/>
          <w:color w:val="2C2C2A"/>
          <w:sz w:val="26"/>
          <w:szCs w:val="26"/>
        </w:rPr>
        <w:t>1. Visão geral da arquitetura</w:t>
      </w:r>
    </w:p>
    <w:p w14:paraId="388F8659" w14:textId="77777777" w:rsidR="00AF0C83" w:rsidRDefault="00000000">
      <w:pPr>
        <w:spacing w:after="160"/>
      </w:pPr>
      <w:r>
        <w:rPr>
          <w:sz w:val="22"/>
          <w:szCs w:val="22"/>
        </w:rPr>
        <w:t>O GASTRA adota uma arquitetura em camadas no backend (ASP.NET Core), combinada com um serviço externo em Python responsável exclusivamente pelo cálculo de recomendação de pratos e de alocação de garçons por programação linear. A decisão de separar o cálculo do restante do sistema segue um princípio simples: o serviço Python calcula e devolve o resultado, mas quem grava no banco é sempre a API ASP.NET Core — o Python nunca acessa o MySQL diretamente.</w:t>
      </w:r>
    </w:p>
    <w:p w14:paraId="388F865A" w14:textId="62E96CFD" w:rsidR="00AF0C83" w:rsidRDefault="00D11F04">
      <w:pPr>
        <w:spacing w:after="160"/>
      </w:pPr>
      <w:r>
        <w:rPr>
          <w:sz w:val="22"/>
          <w:szCs w:val="22"/>
        </w:rPr>
        <w:t>Comunicação síncrona via REST, com a API chamando o serviço Python e persistindo o resultado recebido.</w:t>
      </w:r>
    </w:p>
    <w:p w14:paraId="388F865B" w14:textId="77777777" w:rsidR="00AF0C83" w:rsidRDefault="00000000">
      <w:pPr>
        <w:pStyle w:val="Ttulo1"/>
        <w:spacing w:before="320" w:after="160"/>
      </w:pPr>
      <w:r>
        <w:rPr>
          <w:b/>
          <w:bCs/>
          <w:color w:val="2C2C2A"/>
          <w:sz w:val="26"/>
          <w:szCs w:val="26"/>
        </w:rPr>
        <w:t>2. Diagrama de implantação</w:t>
      </w:r>
    </w:p>
    <w:p w14:paraId="388F865C" w14:textId="77777777" w:rsidR="00AF0C83" w:rsidRDefault="00000000">
      <w:pPr>
        <w:spacing w:after="160"/>
      </w:pPr>
      <w:r>
        <w:rPr>
          <w:sz w:val="22"/>
          <w:szCs w:val="22"/>
        </w:rPr>
        <w:t>O diagrama abaixo mostra os componentes de execução do sistema: o Angular roda no navegador do cliente, fora do ambiente Docker; a API ASP.NET Core, o serviço Python e o MySQL rodam como contêineres Docker orquestrados via docker-compose.</w:t>
      </w:r>
    </w:p>
    <w:p w14:paraId="388F865D" w14:textId="77777777" w:rsidR="00AF0C83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88F869C" wp14:editId="388F869D">
            <wp:extent cx="4572000" cy="2857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865E" w14:textId="77777777" w:rsidR="00AF0C83" w:rsidRDefault="00000000">
      <w:pPr>
        <w:spacing w:before="80" w:after="240"/>
        <w:jc w:val="center"/>
      </w:pPr>
      <w:r>
        <w:rPr>
          <w:i/>
          <w:iCs/>
          <w:color w:val="5F5E5A"/>
        </w:rPr>
        <w:t>Figura 1 — Diagrama de implantação do GASTRA</w:t>
      </w:r>
    </w:p>
    <w:p w14:paraId="388F865F" w14:textId="77777777" w:rsidR="00AF0C83" w:rsidRDefault="00000000">
      <w:pPr>
        <w:pStyle w:val="Ttulo1"/>
        <w:spacing w:before="320" w:after="160"/>
      </w:pPr>
      <w:r>
        <w:rPr>
          <w:b/>
          <w:bCs/>
          <w:color w:val="2C2C2A"/>
          <w:sz w:val="26"/>
          <w:szCs w:val="26"/>
        </w:rPr>
        <w:t>3. Arquitetura em camadas do backend</w:t>
      </w:r>
    </w:p>
    <w:p w14:paraId="388F8660" w14:textId="77777777" w:rsidR="00AF0C83" w:rsidRDefault="00000000">
      <w:pPr>
        <w:spacing w:after="160"/>
      </w:pPr>
      <w:r>
        <w:rPr>
          <w:sz w:val="22"/>
          <w:szCs w:val="22"/>
        </w:rPr>
        <w:t>Internamente, a API ASP.NET Core segue uma arquitetura em camadas com inversão de dependência: a camada Domain fica no centro e não depende de nenhuma outra camada — é para ela que as setas apontam, nunca de onde elas saem. Infrastructure e Communication são as duas portas de saída do sistema (banco de dados e serviço Python, respectivamente) e ambas implementam interfaces definidas pelo Domain, em vez de serem chamadas diretamente por ele. É esse princípio de inversão de dependência que sustenta o Strategy Pattern já adotado em IEstrategiaAlocacao e IRecomendador.</w:t>
      </w:r>
    </w:p>
    <w:p w14:paraId="388F8661" w14:textId="77777777" w:rsidR="00AF0C83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88F869E" wp14:editId="388F869F">
            <wp:extent cx="4572000" cy="2819400"/>
            <wp:effectExtent l="0" t="0" r="0" b="0"/>
            <wp:docPr id="1207943993" name="Imagem 120794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8662" w14:textId="77777777" w:rsidR="00AF0C83" w:rsidRDefault="00000000">
      <w:pPr>
        <w:spacing w:before="80" w:after="240"/>
        <w:jc w:val="center"/>
      </w:pPr>
      <w:r>
        <w:rPr>
          <w:i/>
          <w:iCs/>
          <w:color w:val="5F5E5A"/>
        </w:rPr>
        <w:t>Figura 2 — Arquitetura em camadas do backend ASP.NET Core</w:t>
      </w:r>
    </w:p>
    <w:p w14:paraId="388F8663" w14:textId="77777777" w:rsidR="00AF0C83" w:rsidRDefault="00000000">
      <w:pPr>
        <w:pStyle w:val="Ttulo2"/>
        <w:spacing w:before="200" w:after="120"/>
      </w:pPr>
      <w:r>
        <w:rPr>
          <w:b/>
          <w:bCs/>
          <w:color w:val="2C2C2A"/>
          <w:sz w:val="23"/>
          <w:szCs w:val="23"/>
        </w:rPr>
        <w:t>3.1 Responsabilidade de cada camada</w:t>
      </w:r>
    </w:p>
    <w:p w14:paraId="388F8664" w14:textId="77777777" w:rsidR="00AF0C8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API — controllers, filtros e middleware; ponto de entrada HTTP.</w:t>
      </w:r>
    </w:p>
    <w:p w14:paraId="388F8665" w14:textId="77777777" w:rsidR="00AF0C8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Application — services, perfis de mapeamento (Mapster) e DTOs; orquestra casos de uso sem conter regra de negócio do domínio.</w:t>
      </w:r>
    </w:p>
    <w:p w14:paraId="388F8666" w14:textId="77777777" w:rsidR="00AF0C8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Domain (núcleo) — entidades, enums e interfaces; não depende de nenhuma outra camada.</w:t>
      </w:r>
    </w:p>
    <w:p w14:paraId="388F8667" w14:textId="77777777" w:rsidR="00AF0C8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Infrastructure — implementação de acesso a dados (EF Core + Pomelo, migrations).</w:t>
      </w:r>
    </w:p>
    <w:p w14:paraId="388F8668" w14:textId="77777777" w:rsidR="00AF0C8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Communication — cliente HTTP para o serviço Python (recomendação e alocação por PL).</w:t>
      </w:r>
    </w:p>
    <w:p w14:paraId="388F8669" w14:textId="77777777" w:rsidR="00AF0C8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Cross-cutting — exceções, internacionalização (i18n pt/en), injeção de dependência e filtros; atravessa todas as camadas acima.</w:t>
      </w:r>
    </w:p>
    <w:p w14:paraId="388F866A" w14:textId="77777777" w:rsidR="00AF0C83" w:rsidRDefault="00000000">
      <w:pPr>
        <w:pStyle w:val="Ttulo1"/>
        <w:spacing w:before="320" w:after="160"/>
      </w:pPr>
      <w:r>
        <w:rPr>
          <w:b/>
          <w:bCs/>
          <w:color w:val="2C2C2A"/>
          <w:sz w:val="26"/>
          <w:szCs w:val="26"/>
        </w:rPr>
        <w:t>4. Tecnologias e justificativas</w:t>
      </w:r>
    </w:p>
    <w:p w14:paraId="388F866B" w14:textId="77777777" w:rsidR="00AF0C83" w:rsidRDefault="00000000">
      <w:pPr>
        <w:spacing w:after="160"/>
      </w:pPr>
      <w:r>
        <w:rPr>
          <w:sz w:val="22"/>
          <w:szCs w:val="22"/>
        </w:rPr>
        <w:t>A tabela a seguir amarra cada tecnologia da stack a uma necessidade concreta do GASTRA, para sustentar a escolha na banca.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200"/>
      </w:tblGrid>
      <w:tr w:rsidR="00AF0C83" w14:paraId="388F86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FE8"/>
          </w:tcPr>
          <w:p w14:paraId="388F866C" w14:textId="77777777" w:rsidR="00AF0C83" w:rsidRDefault="00000000">
            <w:r>
              <w:rPr>
                <w:b/>
                <w:bCs/>
              </w:rPr>
              <w:t>Tecnologia</w:t>
            </w:r>
          </w:p>
        </w:tc>
        <w:tc>
          <w:tcPr>
            <w:tcW w:w="2600" w:type="dxa"/>
            <w:shd w:val="clear" w:color="auto" w:fill="F1EFE8"/>
          </w:tcPr>
          <w:p w14:paraId="388F866D" w14:textId="77777777" w:rsidR="00AF0C83" w:rsidRDefault="00000000">
            <w:r>
              <w:rPr>
                <w:b/>
                <w:bCs/>
              </w:rPr>
              <w:t>Camada / papel</w:t>
            </w:r>
          </w:p>
        </w:tc>
        <w:tc>
          <w:tcPr>
            <w:tcW w:w="4200" w:type="dxa"/>
            <w:shd w:val="clear" w:color="auto" w:fill="F1EFE8"/>
          </w:tcPr>
          <w:p w14:paraId="388F866E" w14:textId="77777777" w:rsidR="00AF0C83" w:rsidRDefault="00000000">
            <w:r>
              <w:rPr>
                <w:b/>
                <w:bCs/>
              </w:rPr>
              <w:t>Por que no GASTRA</w:t>
            </w:r>
          </w:p>
        </w:tc>
      </w:tr>
      <w:tr w:rsidR="00AF0C83" w14:paraId="388F86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F8670" w14:textId="77777777" w:rsidR="00AF0C83" w:rsidRDefault="00000000">
            <w:r>
              <w:t>Docker</w:t>
            </w:r>
          </w:p>
        </w:tc>
        <w:tc>
          <w:tcPr>
            <w:tcW w:w="2600" w:type="dxa"/>
          </w:tcPr>
          <w:p w14:paraId="388F8671" w14:textId="77777777" w:rsidR="00AF0C83" w:rsidRDefault="00000000">
            <w:r>
              <w:t>Infraestrutura</w:t>
            </w:r>
          </w:p>
        </w:tc>
        <w:tc>
          <w:tcPr>
            <w:tcW w:w="4200" w:type="dxa"/>
          </w:tcPr>
          <w:p w14:paraId="388F8672" w14:textId="77777777" w:rsidR="00AF0C83" w:rsidRDefault="00000000">
            <w:r>
              <w:t>Isola o runtime .NET do runtime Python e torna a demonstração reproduzível (docker-compose up).</w:t>
            </w:r>
          </w:p>
        </w:tc>
      </w:tr>
      <w:tr w:rsidR="00AF0C83" w14:paraId="388F86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F8674" w14:textId="77777777" w:rsidR="00AF0C83" w:rsidRDefault="00000000">
            <w:r>
              <w:t>ASP.NET Core (C#)</w:t>
            </w:r>
          </w:p>
        </w:tc>
        <w:tc>
          <w:tcPr>
            <w:tcW w:w="2600" w:type="dxa"/>
          </w:tcPr>
          <w:p w14:paraId="388F8675" w14:textId="77777777" w:rsidR="00AF0C83" w:rsidRDefault="00000000">
            <w:r>
              <w:t>API / Application / Domain</w:t>
            </w:r>
          </w:p>
        </w:tc>
        <w:tc>
          <w:tcPr>
            <w:tcW w:w="4200" w:type="dxa"/>
          </w:tcPr>
          <w:p w14:paraId="388F8676" w14:textId="77777777" w:rsidR="00AF0C83" w:rsidRDefault="00000000">
            <w:r>
              <w:t>Definido no projeto de pesquisa formal; tipagem forte apoia a integridade das regras de negócio (RN01–RN07).</w:t>
            </w:r>
          </w:p>
        </w:tc>
      </w:tr>
      <w:tr w:rsidR="00AF0C83" w14:paraId="388F86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F8678" w14:textId="77777777" w:rsidR="00AF0C83" w:rsidRDefault="00000000">
            <w:r>
              <w:t>Angular</w:t>
            </w:r>
          </w:p>
        </w:tc>
        <w:tc>
          <w:tcPr>
            <w:tcW w:w="2600" w:type="dxa"/>
          </w:tcPr>
          <w:p w14:paraId="388F8679" w14:textId="77777777" w:rsidR="00AF0C83" w:rsidRDefault="00000000">
            <w:r>
              <w:t>Cliente</w:t>
            </w:r>
          </w:p>
        </w:tc>
        <w:tc>
          <w:tcPr>
            <w:tcW w:w="4200" w:type="dxa"/>
          </w:tcPr>
          <w:p w14:paraId="388F867A" w14:textId="77777777" w:rsidR="00AF0C83" w:rsidRDefault="00000000">
            <w:r>
              <w:t>Definido no projeto de pesquisa formal; SPA cabe no fluxo de comanda em tempo real (RF13).</w:t>
            </w:r>
          </w:p>
        </w:tc>
      </w:tr>
      <w:tr w:rsidR="00AF0C83" w14:paraId="4A2B8E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A2B8E02" w14:textId="77777777" w:rsidR="00AF0C83" w:rsidRDefault="00000000">
            <w:r>
              <w:t>Figma</w:t>
            </w:r>
          </w:p>
        </w:tc>
        <w:tc>
          <w:tcPr>
            <w:tcW w:w="2600" w:type="dxa"/>
          </w:tcPr>
          <w:p w14:paraId="4A2B8E03" w14:textId="77777777" w:rsidR="00AF0C83" w:rsidRDefault="00000000">
            <w:r>
              <w:t>Prototipagem (pré-implementação, não faz parte do runtime)</w:t>
            </w:r>
          </w:p>
        </w:tc>
        <w:tc>
          <w:tcPr>
            <w:tcW w:w="4200" w:type="dxa"/>
          </w:tcPr>
          <w:p w14:paraId="4A2B8E04" w14:textId="77777777" w:rsidR="00AF0C83" w:rsidRDefault="00000000">
            <w:r>
              <w:t>Suporta a prototipagem de UX/UI da Sprint 3 (avaliação por heurísticas de Nielsen) antes da implementação em Angular; permite validar fluxos de tela (ex.: comanda, alocação de garçons) com o orientador sem gastar tempo de codificação.</w:t>
            </w:r>
          </w:p>
        </w:tc>
      </w:tr>
      <w:tr w:rsidR="00AF0C83" w14:paraId="388F86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F867C" w14:textId="77777777" w:rsidR="00AF0C83" w:rsidRDefault="00000000">
            <w:r>
              <w:t>Python + FastAPI</w:t>
            </w:r>
          </w:p>
        </w:tc>
        <w:tc>
          <w:tcPr>
            <w:tcW w:w="2600" w:type="dxa"/>
          </w:tcPr>
          <w:p w14:paraId="388F867D" w14:textId="77777777" w:rsidR="00AF0C83" w:rsidRDefault="00000000">
            <w:r>
              <w:t>Cálculo (recomendação + PL)</w:t>
            </w:r>
          </w:p>
        </w:tc>
        <w:tc>
          <w:tcPr>
            <w:tcW w:w="4200" w:type="dxa"/>
          </w:tcPr>
          <w:p w14:paraId="388F867E" w14:textId="77777777" w:rsidR="00AF0C83" w:rsidRDefault="00000000">
            <w:r>
              <w:t>Ecossistema de ciência de dados maduro em Python; FastAPI é leve e assíncrono para expor poucos endpoints de cálculo.</w:t>
            </w:r>
          </w:p>
        </w:tc>
      </w:tr>
      <w:tr w:rsidR="00AF0C83" w14:paraId="388F86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F8680" w14:textId="77777777" w:rsidR="00AF0C83" w:rsidRDefault="00000000">
            <w:r>
              <w:t>MySQL + EF Core 9 + Pomelo 9</w:t>
            </w:r>
          </w:p>
        </w:tc>
        <w:tc>
          <w:tcPr>
            <w:tcW w:w="2600" w:type="dxa"/>
          </w:tcPr>
          <w:p w14:paraId="388F8681" w14:textId="77777777" w:rsidR="00AF0C83" w:rsidRDefault="00000000">
            <w:r>
              <w:t>Persistência</w:t>
            </w:r>
          </w:p>
        </w:tc>
        <w:tc>
          <w:tcPr>
            <w:tcW w:w="4200" w:type="dxa"/>
          </w:tcPr>
          <w:p w14:paraId="388F8682" w14:textId="77777777" w:rsidR="00AF0C83" w:rsidRDefault="00000000">
            <w:r>
              <w:t>Dado transacional exige consistência relacional forte; Pomelo é o provider comunitário que dá suporte a MySQL no EF Core; migrations dão histórico versionado do schema.</w:t>
            </w:r>
          </w:p>
        </w:tc>
      </w:tr>
      <w:tr w:rsidR="00AF0C83" w14:paraId="388F86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F8684" w14:textId="77777777" w:rsidR="00AF0C83" w:rsidRDefault="00000000">
            <w:r>
              <w:t>Exception Handling Middleware + i18n (pt/en)</w:t>
            </w:r>
          </w:p>
        </w:tc>
        <w:tc>
          <w:tcPr>
            <w:tcW w:w="2600" w:type="dxa"/>
          </w:tcPr>
          <w:p w14:paraId="388F8685" w14:textId="77777777" w:rsidR="00AF0C83" w:rsidRDefault="00000000">
            <w:r>
              <w:t>Cross-cutting</w:t>
            </w:r>
          </w:p>
        </w:tc>
        <w:tc>
          <w:tcPr>
            <w:tcW w:w="4200" w:type="dxa"/>
          </w:tcPr>
          <w:p w14:paraId="388F8686" w14:textId="77777777" w:rsidR="00AF0C83" w:rsidRDefault="00000000">
            <w:r>
              <w:t>Centraliza o mapeamento de erro (Custom Error Mapping) em um único lugar em vez de tratamento espalhado por controller.</w:t>
            </w:r>
          </w:p>
        </w:tc>
      </w:tr>
      <w:tr w:rsidR="00AF0C83" w14:paraId="388F86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F8688" w14:textId="77777777" w:rsidR="00AF0C83" w:rsidRDefault="00000000">
            <w:r>
              <w:lastRenderedPageBreak/>
              <w:t>Culture Middleware</w:t>
            </w:r>
          </w:p>
        </w:tc>
        <w:tc>
          <w:tcPr>
            <w:tcW w:w="2600" w:type="dxa"/>
          </w:tcPr>
          <w:p w14:paraId="388F8689" w14:textId="77777777" w:rsidR="00AF0C83" w:rsidRDefault="00000000">
            <w:r>
              <w:t>Cross-cutting</w:t>
            </w:r>
          </w:p>
        </w:tc>
        <w:tc>
          <w:tcPr>
            <w:tcW w:w="4200" w:type="dxa"/>
          </w:tcPr>
          <w:p w14:paraId="388F868A" w14:textId="77777777" w:rsidR="00AF0C83" w:rsidRDefault="00000000">
            <w:r>
              <w:t>Resolve a cultura da requisição a partir do header, usada pelo middleware de exceção para responder no idioma correto.</w:t>
            </w:r>
          </w:p>
        </w:tc>
      </w:tr>
      <w:tr w:rsidR="00AF0C83" w14:paraId="388F86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F868C" w14:textId="77777777" w:rsidR="00AF0C83" w:rsidRDefault="00000000">
            <w:r>
              <w:t>Injeção de Dependência (nativa)</w:t>
            </w:r>
          </w:p>
        </w:tc>
        <w:tc>
          <w:tcPr>
            <w:tcW w:w="2600" w:type="dxa"/>
          </w:tcPr>
          <w:p w14:paraId="388F868D" w14:textId="77777777" w:rsidR="00AF0C83" w:rsidRDefault="00000000">
            <w:r>
              <w:t>Application / Domain</w:t>
            </w:r>
          </w:p>
        </w:tc>
        <w:tc>
          <w:tcPr>
            <w:tcW w:w="4200" w:type="dxa"/>
          </w:tcPr>
          <w:p w14:paraId="388F868E" w14:textId="77777777" w:rsidR="00AF0C83" w:rsidRDefault="00000000">
            <w:r>
              <w:t>Viabiliza o Strategy Pattern já adotado (IEstrategiaAlocacao, IRecomendador).</w:t>
            </w:r>
          </w:p>
        </w:tc>
      </w:tr>
      <w:tr w:rsidR="00AF0C83" w14:paraId="388F86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F8690" w14:textId="77777777" w:rsidR="00AF0C83" w:rsidRDefault="00000000">
            <w:r>
              <w:t>Mapster</w:t>
            </w:r>
          </w:p>
        </w:tc>
        <w:tc>
          <w:tcPr>
            <w:tcW w:w="2600" w:type="dxa"/>
          </w:tcPr>
          <w:p w14:paraId="388F8691" w14:textId="77777777" w:rsidR="00AF0C83" w:rsidRDefault="00000000">
            <w:r>
              <w:t>Application</w:t>
            </w:r>
          </w:p>
        </w:tc>
        <w:tc>
          <w:tcPr>
            <w:tcW w:w="4200" w:type="dxa"/>
          </w:tcPr>
          <w:p w14:paraId="388F8692" w14:textId="77777777" w:rsidR="00AF0C83" w:rsidRDefault="00000000">
            <w:r>
              <w:t>Mapeamento DTO ↔ entidade sem reflection pesada em runtime; erros de mapeamento detectáveis em tempo de build.</w:t>
            </w:r>
          </w:p>
        </w:tc>
      </w:tr>
      <w:tr w:rsidR="00AF0C83" w14:paraId="388F86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F8694" w14:textId="77777777" w:rsidR="00AF0C83" w:rsidRDefault="00000000">
            <w:r>
              <w:t>Filters</w:t>
            </w:r>
          </w:p>
        </w:tc>
        <w:tc>
          <w:tcPr>
            <w:tcW w:w="2600" w:type="dxa"/>
          </w:tcPr>
          <w:p w14:paraId="388F8695" w14:textId="77777777" w:rsidR="00AF0C83" w:rsidRDefault="00000000">
            <w:r>
              <w:t>API</w:t>
            </w:r>
          </w:p>
        </w:tc>
        <w:tc>
          <w:tcPr>
            <w:tcW w:w="4200" w:type="dxa"/>
          </w:tcPr>
          <w:p w14:paraId="388F8696" w14:textId="77777777" w:rsidR="00AF0C83" w:rsidRDefault="00000000">
            <w:r>
              <w:t>Ponto único de validação/autorização por papel (RNF04) antes do controller.</w:t>
            </w:r>
          </w:p>
        </w:tc>
      </w:tr>
    </w:tbl>
    <w:p w14:paraId="388F8698" w14:textId="77777777" w:rsidR="00AF0C83" w:rsidRDefault="00000000">
      <w:pPr>
        <w:pStyle w:val="Ttulo1"/>
        <w:spacing w:before="320" w:after="160"/>
      </w:pPr>
      <w:r>
        <w:rPr>
          <w:b/>
          <w:bCs/>
          <w:color w:val="2C2C2A"/>
          <w:sz w:val="26"/>
          <w:szCs w:val="26"/>
        </w:rPr>
        <w:t>5. Decisões em aberto</w:t>
      </w:r>
    </w:p>
    <w:p w14:paraId="388F8699" w14:textId="77777777" w:rsidR="00AF0C83" w:rsidRDefault="00000000">
      <w:pPr>
        <w:spacing w:after="160"/>
      </w:pPr>
      <w:r>
        <w:rPr>
          <w:sz w:val="22"/>
          <w:szCs w:val="22"/>
        </w:rPr>
        <w:t>Duas ferramentas citadas na definição de stack ainda não são tratadas como decisão fechada:</w:t>
      </w:r>
    </w:p>
    <w:p w14:paraId="388F869A" w14:textId="77777777" w:rsidR="00AF0C8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SonarCloud — análise estática de qualidade de código; ferramenta de processo (CI), a decidir quando o repositório tiver massa crítica de código.</w:t>
      </w:r>
    </w:p>
    <w:p w14:paraId="388F869B" w14:textId="77777777" w:rsidR="00AF0C83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OWASP Top 10 — não é uma tecnologia a instalar, e sim um checklist de segurança; cabe como referencial na revisão bibliográfica (junto de RN06/RN07/RNF03/RNF04), não na lista de stack.</w:t>
      </w:r>
    </w:p>
    <w:sectPr w:rsidR="00AF0C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00B91"/>
    <w:multiLevelType w:val="hybridMultilevel"/>
    <w:tmpl w:val="ADECEB4A"/>
    <w:lvl w:ilvl="0" w:tplc="38CC3BD4">
      <w:start w:val="1"/>
      <w:numFmt w:val="bullet"/>
      <w:lvlText w:val="●"/>
      <w:lvlJc w:val="left"/>
      <w:pPr>
        <w:ind w:left="720" w:hanging="360"/>
      </w:pPr>
    </w:lvl>
    <w:lvl w:ilvl="1" w:tplc="9C260E2E">
      <w:start w:val="1"/>
      <w:numFmt w:val="bullet"/>
      <w:lvlText w:val="○"/>
      <w:lvlJc w:val="left"/>
      <w:pPr>
        <w:ind w:left="1440" w:hanging="360"/>
      </w:pPr>
    </w:lvl>
    <w:lvl w:ilvl="2" w:tplc="67860896">
      <w:start w:val="1"/>
      <w:numFmt w:val="bullet"/>
      <w:lvlText w:val="■"/>
      <w:lvlJc w:val="left"/>
      <w:pPr>
        <w:ind w:left="2160" w:hanging="360"/>
      </w:pPr>
    </w:lvl>
    <w:lvl w:ilvl="3" w:tplc="BD68BE8C">
      <w:start w:val="1"/>
      <w:numFmt w:val="bullet"/>
      <w:lvlText w:val="●"/>
      <w:lvlJc w:val="left"/>
      <w:pPr>
        <w:ind w:left="2880" w:hanging="360"/>
      </w:pPr>
    </w:lvl>
    <w:lvl w:ilvl="4" w:tplc="B8AAD746">
      <w:start w:val="1"/>
      <w:numFmt w:val="bullet"/>
      <w:lvlText w:val="○"/>
      <w:lvlJc w:val="left"/>
      <w:pPr>
        <w:ind w:left="3600" w:hanging="360"/>
      </w:pPr>
    </w:lvl>
    <w:lvl w:ilvl="5" w:tplc="2CAC0BFA">
      <w:start w:val="1"/>
      <w:numFmt w:val="bullet"/>
      <w:lvlText w:val="■"/>
      <w:lvlJc w:val="left"/>
      <w:pPr>
        <w:ind w:left="4320" w:hanging="360"/>
      </w:pPr>
    </w:lvl>
    <w:lvl w:ilvl="6" w:tplc="B06A82B0">
      <w:start w:val="1"/>
      <w:numFmt w:val="bullet"/>
      <w:lvlText w:val="●"/>
      <w:lvlJc w:val="left"/>
      <w:pPr>
        <w:ind w:left="5040" w:hanging="360"/>
      </w:pPr>
    </w:lvl>
    <w:lvl w:ilvl="7" w:tplc="2028E0BA">
      <w:start w:val="1"/>
      <w:numFmt w:val="bullet"/>
      <w:lvlText w:val="●"/>
      <w:lvlJc w:val="left"/>
      <w:pPr>
        <w:ind w:left="5760" w:hanging="360"/>
      </w:pPr>
    </w:lvl>
    <w:lvl w:ilvl="8" w:tplc="F300EC8A">
      <w:start w:val="1"/>
      <w:numFmt w:val="bullet"/>
      <w:lvlText w:val="●"/>
      <w:lvlJc w:val="left"/>
      <w:pPr>
        <w:ind w:left="6480" w:hanging="360"/>
      </w:pPr>
    </w:lvl>
  </w:abstractNum>
  <w:num w:numId="1" w16cid:durableId="1571884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C83"/>
    <w:rsid w:val="000B073A"/>
    <w:rsid w:val="00AF0C83"/>
    <w:rsid w:val="00C0526C"/>
    <w:rsid w:val="00D1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F8653"/>
  <w15:docId w15:val="{CBEAA1A9-5EF1-4A61-B02F-1B18DE35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692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Bento</cp:lastModifiedBy>
  <cp:revision>3</cp:revision>
  <dcterms:created xsi:type="dcterms:W3CDTF">2026-09-14T23:17:00Z</dcterms:created>
  <dcterms:modified xsi:type="dcterms:W3CDTF">2026-09-14T23:30:00Z</dcterms:modified>
</cp:coreProperties>
</file>