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GASTRA — Matriz de Rastreabilidade de Requisitos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Módulo de Comandas e blocos analíticos conectados (front-of-house) — documento de trabalho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TG — FATEC Araraquara | Autores: Daniel (Danih) e Pedro | Orientador: Prof. Me. Leonardo José de Lima Ferrucci</w:t>
      </w:r>
    </w:p>
    <w:p>
      <w:pPr>
        <w:spacing w:after="30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Versão: 17/08/2026 | Documento base: GASTRA — Requisitos e Regras de Negócio</w:t>
      </w:r>
    </w:p>
    <w:p>
      <w:pPr>
        <w:pStyle w:val="Heading1"/>
        <w:spacing w:after="200" w:before="400"/>
      </w:pPr>
      <w:r>
        <w:t xml:space="preserve">1. Propósito deste documento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Esta matriz conecta cada Requisito Funcional (RF), Requisito Não Funcional (RNF) e Regra de Negócio (RN) — já descritos em detalhe no documento "GASTRA — Requisitos e Regras de Negócio" — à sua origem (o que motivou sua existência: um questionário, uma decisão de design, o projeto de pesquisa formal) e ao seu status de validação atual. O objetivo é permitir, a qualquer momento, responder duas perguntas: de onde veio este requisito, e ele já pode ser tratado como escopo fechado do TG?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coluna "Caso de Uso relacionado" antecipa o rótulo que cada requisito deve assumir no diagrama de casos de uso — ainda não desenhado formalmente. Requisitos não funcionais e regras de negócio, por natureza, normalmente não mapeiam para um caso de uso único; nesses casos, a coluna indica os casos de uso aos quais o requisito se aplica de forma transversal.</w:t>
      </w:r>
    </w:p>
    <w:p>
      <w:pPr>
        <w:pStyle w:val="Heading1"/>
        <w:spacing w:after="200" w:before="400"/>
      </w:pPr>
      <w:r>
        <w:t xml:space="preserve">2. Legenda — Status de validação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• Validado (escopo original) — consta no projeto de pesquisa formal (Gastra.pdf); não depende de nova aprovação.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• Pendente de validação — parte da expansão de escopo (módulo de comandas e/ou cardápio digital) discutida com a dupla, ainda não aprovada formalmente pelo Prof. Ferrucci.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• Decisão interna (não depende de escopo) — decisão de design ou modelagem tomada pela dupla que não altera o escopo do TG perante o orientador (ex.: regras de LGPD, RBAC, classificação de mesa).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• Em aberto — nem sequer decidido internamente pela dupla; requer definição antes de seguir para modelagem/implementação.</w:t>
      </w:r>
    </w:p>
    <w:p>
      <w:pPr>
        <w:pStyle w:val="Heading1"/>
        <w:spacing w:after="200" w:before="400"/>
      </w:pPr>
      <w:r>
        <w:t xml:space="preserve">3. Matriz de rastreabilidade</w:t>
      </w:r>
    </w:p>
    <w:tbl>
      <w:tblPr>
        <w:tblW w:type="dxa" w:w="12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300"/>
        <w:gridCol w:w="1500"/>
        <w:gridCol w:w="2100"/>
        <w:gridCol w:w="2200"/>
        <w:gridCol w:w="1900"/>
      </w:tblGrid>
      <w:tr>
        <w:trPr>
          <w:tblHeader/>
        </w:trPr>
        <w:tc>
          <w:tcPr>
            <w:tcW w:type="dxa" w:w="700"/>
            <w:shd w:fill="2F485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00"/>
            <w:shd w:fill="2F485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300"/>
            <w:shd w:fill="2F485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Descrição resumida</w:t>
            </w:r>
          </w:p>
        </w:tc>
        <w:tc>
          <w:tcPr>
            <w:tcW w:type="dxa" w:w="1500"/>
            <w:shd w:fill="2F485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Ator(es)</w:t>
            </w:r>
          </w:p>
        </w:tc>
        <w:tc>
          <w:tcPr>
            <w:tcW w:type="dxa" w:w="2100"/>
            <w:shd w:fill="2F485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Caso de Uso relacionado</w:t>
            </w:r>
          </w:p>
        </w:tc>
        <w:tc>
          <w:tcPr>
            <w:tcW w:type="dxa" w:w="2200"/>
            <w:shd w:fill="2F485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Origem / Fonte</w:t>
            </w:r>
          </w:p>
        </w:tc>
        <w:tc>
          <w:tcPr>
            <w:tcW w:type="dxa" w:w="1900"/>
            <w:shd w:fill="2F485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 de validação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RF01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Garçom abre comanda vinculada a uma mesa.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Garçom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Abrir Comanda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Decisão de escopo — expansão comandas (13/08/2026)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A5A00"/>
                <w:sz w:val="18"/>
                <w:szCs w:val="18"/>
              </w:rPr>
              <w:t xml:space="preserve">Pendente de validação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RF02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Sistema sugere composição da mesa; Garçom confirma/ajusta.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Garçom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Classificar Composição da Mesa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Decisão de design (13/08/2026)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RF03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Garçom registra itens do pedido na comanda.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Garçom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Registrar Pedido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Decisão de escopo — expansão comandas (13/08/2026)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A5A00"/>
                <w:sz w:val="18"/>
                <w:szCs w:val="18"/>
              </w:rPr>
              <w:t xml:space="preserve">Pendente de validação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RF04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Garçom fecha comanda com cálculo de total + taxa.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Garçom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Fechar Comanda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Decisão de escopo — expansão comandas (13/08/2026)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A5A00"/>
                <w:sz w:val="18"/>
                <w:szCs w:val="18"/>
              </w:rPr>
              <w:t xml:space="preserve">Pendente de validação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RF05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Cliente consulta cardápio digital (fotos, preço, flags) via QR/tablet, sem pedido.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Cliente (condicional)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Consultar Cardápio Digital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Questionário Cliente (Jotform, n=12) — 83% relatou dificuldade com flags; decisão da dupla (17/08/2026)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A5A00"/>
                <w:sz w:val="18"/>
                <w:szCs w:val="18"/>
              </w:rPr>
              <w:t xml:space="preserve">Pendente de validação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RF06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Sistema calcula sugestão de alocação de garçons via PL.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Sistema / Metre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Calcular Alocação de Garçons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Escopo original (Gastra.pdf)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631"/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RF07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Metre visualiza e ajusta manualmente a alocação sugerida.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Metre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Ajustar Alocação de Garçons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Escopo original (Gastra.pdf) + decisão de manter decisão humana final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631"/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RF08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Sistema registra histórico de alocações para BI.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Sistema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Registrar Histórico de Alocação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Questionário Garçom (Jotform, n=2) — 100% percebe diferença de faturamento entre praças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631"/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RF09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Sistema sugere combinações de pratos ao Garçom.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Garçom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Sugerir Recomendação de Pratos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Escopo original (Gastra.pdf)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631"/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RF10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Gerente consulta relatórios agregados de faturamento.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Gerente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Consultar Relatório de Faturamento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Escopo original (Gastra.pdf)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631"/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RF11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Sistema exibe ranking/indicadores de desempenho dos garçons.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Gerente, Garçom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Consultar Ranking de Garçons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Questionário Garçom (Jotform, n=2) — 100% indicou que ranking motivaria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631"/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RF12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Cliente solicita exclusão do próprio histórico de pedidos.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Cliente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Excluir Histórico de Pedidos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Questionário Cliente (Jotform, n=12) — direito ao esquecimento (LGPD, Art. 6º)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631"/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RNF01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RNF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Registro de pedido refletido em, no máx., X segundos.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Registrar Pedido (transversal)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Questionário Cliente (Jotform, n=12) — demora foi maior incômodo (50%)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A5A00"/>
                <w:sz w:val="18"/>
                <w:szCs w:val="18"/>
              </w:rPr>
              <w:t xml:space="preserve">Pendente de validação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RNF02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RNF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Abrir mesa + registrar pedido em, no máx., N toques.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Abrir Comanda / Registrar Pedido (transversal)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Questionário Cliente (Jotform, n=12) — mesmo achado de demora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A5A00"/>
                <w:sz w:val="18"/>
                <w:szCs w:val="18"/>
              </w:rPr>
              <w:t xml:space="preserve">Pendente de validação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RNF03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RNF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Dados pessoais armazenados com minimização e acesso restrito.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Transversal (todos os casos com dado pessoal)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Decisão de design — LGPD (13/08/2026)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RNF04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RNF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Permissões de leitura/escrita distintas por papel (RBAC).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Transversal (controle de acesso)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Modelagem de hierarquia/RBAC front-of-house (17/08/2026)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RNF05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RNF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Módulo de comanda disponível em todo horário de funcionamento.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Abrir Comanda / Registrar Pedido / Fechar Comanda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Decisão de escopo — módulo de comandas como fundação (13/08/2026)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A5A00"/>
                <w:sz w:val="18"/>
                <w:szCs w:val="18"/>
              </w:rPr>
              <w:t xml:space="preserve">Pendente de validação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RN01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RN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Regras de classificação da composição da mesa (Solo/Casal/...).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Classificar Composição da Mesa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Decisão de design (13/08/2026)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RN02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RN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Comanda só fecha com itens entregues ou cancelamento justificado.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Fechar Comanda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Definição da dupla (regra derivada, sem fonte externa direta)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RN03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RN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Função objetivo do algoritmo de PL ainda não definida.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Calcular Alocação de Garçons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Em aberto — não definida entre a dupla nem validada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B0000"/>
                <w:sz w:val="18"/>
                <w:szCs w:val="18"/>
              </w:rPr>
              <w:t xml:space="preserve">Em aberto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RN04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RN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Dado pessoal do cliente só acessível por Garçom/Metre na mesa ativa.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Transversal (todos os casos com dado pessoal)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Decisão de design — LGPD (13/08/2026)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RN05</w:t>
            </w:r>
          </w:p>
        </w:tc>
        <w:tc>
          <w:tcPr>
            <w:tcW w:type="dxa" w:w="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RN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Proibição de captar atributos sensíveis do cliente para segmentação.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Transversal (segmentação / recomendação)</w:t>
            </w:r>
          </w:p>
        </w:tc>
        <w:tc>
          <w:tcPr>
            <w:tcW w:type="dxa" w:w="2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Decisão de design — LGPD (13/08/2026)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Decisão interna (não depende de escopo)</w:t>
            </w:r>
          </w:p>
        </w:tc>
      </w:tr>
    </w:tbl>
    <w:p>
      <w:pPr>
        <w:pStyle w:val="Heading1"/>
        <w:spacing w:after="200" w:before="400"/>
      </w:pPr>
      <w:r>
        <w:t xml:space="preserve">4. Observações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Nenhum item com status "Pendente de validação" deve ser tratado como escopo fechado em texto do TG até a validação formal ocorrer (ver conflito de delimitação registrado no GASTRA_STATUS.md, seção 1). O item RN03 ("Em aberto") bloqueia a formalização completa do Bloco de Programação Linear e deve ser priorizado nas próximas conversas da dupla, independentemente da fila de validação com o orientador.</w:t>
      </w:r>
    </w:p>
    <w:sectPr>
      <w:pgSz w:w="15840" w:h="122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2026-08-17T22:22:35.424Z</dcterms:created>
  <dcterms:modified xsi:type="dcterms:W3CDTF">2026-08-17T22:22:35.438Z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