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</w:pPr>
      <w:r>
        <w:rPr>
          <w:b/>
          <w:bCs/>
          <w:sz w:val="32"/>
          <w:szCs w:val="32"/>
        </w:rPr>
        <w:t xml:space="preserve">GASTRA — Requisitos e Regras de Negócio</w:t>
      </w:r>
    </w:p>
    <w:p>
      <w:pPr>
        <w:spacing w:after="200"/>
      </w:pPr>
      <w:r>
        <w:rPr>
          <w:i/>
          <w:iCs/>
        </w:rPr>
        <w:t xml:space="preserve">Módulo de comandas (adicional) e blocos analíticos — documento de trabalho</w:t>
      </w:r>
    </w:p>
    <w:p>
      <w:pPr>
        <w:spacing w:after="200"/>
      </w:pPr>
      <w:r>
        <w:t xml:space="preserve">TG — FATEC Araraquara | Autores: Daniel (Danih) e Pedro | Orientador: Prof. Me. Leonardo José de Lima Ferrucci</w:t>
      </w:r>
    </w:p>
    <w:p>
      <w:pPr>
        <w:spacing w:after="200"/>
      </w:pPr>
      <w:r>
        <w:rPr>
          <w:i/>
          <w:iCs/>
        </w:rPr>
        <w:t xml:space="preserve">Versão: 22/08/2026 — fechamento da Sprint 1: função objetivo do RN03 (issue #6) e notação de diagramas confirmadas</w:t>
      </w:r>
    </w:p>
    <w:p>
      <w:pPr>
        <w:pStyle w:val="Heading1"/>
        <w:spacing w:after="150" w:before="300"/>
      </w:pPr>
      <w:r>
        <w:t xml:space="preserve">1. Escopo considerado neste documento</w:t>
      </w:r>
    </w:p>
    <w:p>
      <w:pPr>
        <w:spacing w:after="200"/>
      </w:pPr>
      <w:r>
        <w:t xml:space="preserve">Atualização de escopo validada com o orientador (21/08/2026): o foco do TG permanece nos quatro blocos analíticos originais do projeto de pesquisa formal (Gastra.pdf) — BI, Ciência de Dados, Programação Linear e LGPD. O módulo de comandas foi aprovado, mas como componente adicional que alimenta esses blocos com dados operacionais reais, não como entrega central do trabalho.</w:t>
      </w:r>
    </w:p>
    <w:p>
      <w:pPr>
        <w:spacing w:after="200"/>
      </w:pPr>
      <w:r>
        <w:t xml:space="preserve">Dentro do módulo de comandas, há uma subdivisão de prioridade que precisa ficar clara em qualquer leitura deste documento: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Núcleo do módulo de comandas (abrir/registrar pedido/fechar comanda) — aprovado como adicional necessário.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Extras condicionados a tempo disponível: cardápio digital para consulta (opção B) e consulta da comanda em tempo real pelo cliente; lista de pendências do garçom (achado da entrevista Cocobambu).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Fora do escopo do TG: qualquer integração com a cozinha (acesso a pedidos, confirmação de preparo). Tratada explicitamente como feature futura, pós-defesa — não entra nem como extra condicional.</w:t>
      </w:r>
    </w:p>
    <w:p>
      <w:pPr>
        <w:spacing w:after="200"/>
      </w:pPr>
      <w:r>
        <w:rPr>
          <w:i/>
          <w:iCs/>
        </w:rPr>
        <w:t xml:space="preserve">Esta seção substitui a versão de 17/08/2026, que tratava comandas e cardápio digital como pendentes de validação. A validação ocorreu em 21/08/2026; os extras (cardápio digital, comanda em tempo real, lista de pendências) continuam formalmente aprovados apenas como escopo condicional — não são compromisso de entrega.</w:t>
      </w:r>
    </w:p>
    <w:p>
      <w:pPr>
        <w:pStyle w:val="Heading1"/>
        <w:spacing w:after="150" w:before="300"/>
      </w:pPr>
      <w:r>
        <w:t xml:space="preserve">2. Requisitos Funcionais (RF)</w:t>
      </w:r>
    </w:p>
    <w:p>
      <w:pPr>
        <w:spacing w:after="200"/>
      </w:pPr>
      <w:r>
        <w:t xml:space="preserve">Um Requisito Funcional descreve algo que o sistema deve fazer — uma função ou comportamento observável, associado a um ator que a aciona ou que dela se beneficia.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400"/>
        <w:gridCol w:w="3200"/>
      </w:tblGrid>
      <w:tr>
        <w:trPr>
          <w:tblHeader/>
        </w:trPr>
        <w:tc>
          <w:tcPr>
            <w:tcW w:type="dxa" w:w="7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42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14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Ator(es)</w:t>
            </w:r>
          </w:p>
        </w:tc>
        <w:tc>
          <w:tcPr>
            <w:tcW w:type="dxa" w:w="32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Justificativa / Origem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RF01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permitir que o Garçom abra uma comanda vinculada a uma mesa específica.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Garçom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Núcleo do módulo de comandas — adicional aprovado (21/08/2026).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RF02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sugerir automaticamente a composição da mesa, permitindo ao Garçom confirmar ou ajustar.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Garçom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Decisão de design (13/08/2026); confirmado por entrevista — sem item infantil pedido, sistema não tem como inferir sozinho.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RF03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permitir ao Garçom registrar os itens do pedido associados à comanda aberta, com lista de pendências (itens ainda não entregues) visível.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Garçom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Núcleo do módulo de comandas + refinamento da entrevista Cocobambu (achado espontâneo sobre itens esquecidos, ex.: água).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RF04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permitir ao Garçom fechar a comanda, calculando o valor total com taxa de serviço.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Garçom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Núcleo do módulo de comandas — adicional aprovado.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RF05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permitir ao Cliente consultar, via QR code ou tablet, o cardápio digital com fotos, preço e flags dietéticas, sem função de pedido.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Cliente (condicional)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EXTRA — condicionado a tempo. Questionário: 83% dos clientes relatam dificuldade com flags dietéticas.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RF06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calcular uma sugestão de alocação de garçons às mesas/praças com base no algoritmo de programação linear (RN03).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Sistema / Metre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Escopo original, bloco de Programação Linear.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RF07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permitir ao Metre visualizar e ajustar manualmente a alocação sugerida antes de confirmá-la.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Metre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Mantém decisão humana final; reforçado pela entrevista ("algo que deveria continuar sendo decisão do funcionário").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RF08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registrar o histórico de alocações e faturamento por praça para uso no RN03 e em BI.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Sistema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Escopo original + entrevista: praças têm potencial de faturamento estruturalmente diferente (ex.: mesa de casal vs. mesa família).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RF09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sugerir combinações de pratos ao Garçom com base em clusterização e regras de associação, calibradas por suporte/confiança mínimos.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Garçom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Escopo original, bloco de Ciência de Dados.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RF10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exibir ao Gerente relatórios agregados de faturamento por praça e por garçom, com os KPIs definidos na seção 3.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Gerente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Escopo original, bloco de BI.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RF11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exibir um índice composto de desempenho dos garçons (não apenas venda) para ranking/gamificação.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Gerente, Garçom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Refinado pela entrevista: "podia ter outras métricas também, não só venda".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RF12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permitir ao Cliente solicitar a exclusão do seu histórico de pedidos a qualquer momento.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Cliente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Direito ao esquecimento (LGPD, Art. 6º).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RF13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permitir ao Cliente consultar sua comanda em tempo real (itens já lançados e valor parcial).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Cliente (condicional)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EXTRA — condicionado a tempo. Achado da entrevista Cocobambu: reduz disputa de conta ao final do atendimento.</w:t>
            </w:r>
          </w:p>
        </w:tc>
      </w:tr>
    </w:tbl>
    <w:p>
      <w:pPr>
        <w:pStyle w:val="Heading1"/>
        <w:spacing w:after="150" w:before="300"/>
      </w:pPr>
      <w:r>
        <w:t xml:space="preserve">3. KPIs e critérios analíticos (proposta da dupla — pendente de validação final)</w:t>
      </w:r>
    </w:p>
    <w:p>
      <w:pPr>
        <w:spacing w:after="200"/>
      </w:pPr>
      <w:r>
        <w:t xml:space="preserve">Esta seção formaliza os critérios que estavam listados como pendências no documento anterior (seção 5, versão 17/08/2026). São propostas construídas a partir da entrevista com o garçom do Cocobambu e do questionário — precisam de validação entre a dupla antes de serem tratadas como fechadas, e do orientador antes de constarem como definitivas no TG.</w:t>
      </w:r>
    </w:p>
    <w:p>
      <w:pPr>
        <w:pStyle w:val="Heading3"/>
        <w:spacing w:after="120" w:before="250"/>
      </w:pPr>
      <w:r>
        <w:t xml:space="preserve">3.1 Critério de rotação/alocação de garçons (RN03)</w:t>
      </w:r>
    </w:p>
    <w:p>
      <w:pPr>
        <w:spacing w:after="200"/>
      </w:pPr>
      <w:r>
        <w:t xml:space="preserve">Proposta: equilibrar o faturamento acumulado por garçom ao longo de um período de referência (ex.: semana), ponderando a alocação pelo faturamento médio histórico de cada praça — garçons alocados repetidamente em praças de menor potencial ganham prioridade em praças de maior potencial nas rodadas seguintes, e vice-versa.</w:t>
      </w:r>
    </w:p>
    <w:p>
      <w:pPr>
        <w:spacing w:after="200"/>
      </w:pPr>
      <w:r>
        <w:t xml:space="preserve">Racional: descarta as hipóteses "minimizar tempo de espera" e "maximizar gorjeta total" por não terem aparecido como dor espontânea nem na entrevista nem no questionário; a dor relatada foi especificamente desigualdade percebida entre praças.</w:t>
      </w:r>
    </w:p>
    <w:p>
      <w:pPr>
        <w:spacing w:after="200"/>
      </w:pPr>
      <w:r>
        <w:rPr>
          <w:b/>
          <w:bCs/>
        </w:rPr>
        <w:t xml:space="preserve">Status (22/08/2026, issue #6): </w:t>
      </w:r>
      <w:r>
        <w:t xml:space="preserve">a estrutura da função objetivo acima está fechada. Seguem pendentes, como issue própria (#26): a validação formal desta abordagem com o orientador, e a calibração numérica dos pesos (quanto o histórico da praça pesa vs. o acumulado do garçom), que depende de dado real ou simulado ainda não disponível.</w:t>
      </w:r>
    </w:p>
    <w:p>
      <w:pPr>
        <w:pStyle w:val="Heading3"/>
        <w:spacing w:after="120" w:before="250"/>
      </w:pPr>
      <w:r>
        <w:t xml:space="preserve">3.2 KPIs de BI (RF10) e índice de ranking (RF11)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Faturamento total e médio por garçom, por período.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Faturamento médio histórico por praça (alimenta o RN03).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Ticket médio por mesa atendida.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Tempo médio de atendimento (abertura → fechamento da comanda).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Índice composto de desempenho: combina faturamento + nº de mesas atendidas (evita expor só a métrica de venda pura, conforme sinalizado na entrevista).</w:t>
      </w:r>
    </w:p>
    <w:p>
      <w:pPr>
        <w:pStyle w:val="Heading3"/>
        <w:spacing w:after="120" w:before="250"/>
      </w:pPr>
      <w:r>
        <w:t xml:space="preserve">3.3 Critério de recomendação de pratos (RF09)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Regras de associação: limiares mínimos de suporte e confiança — valores exatos a calibrar quando houver volume de dado real ou simulado suficiente; não é possível fechar um número sem essa base.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Clusterização por padrão de consumo observável (nunca atributo sensível — decisão já fechada, RN05); número de clusters a definir experimentalmente (ex.: método do cotovelo).</w:t>
      </w:r>
    </w:p>
    <w:p>
      <w:pPr>
        <w:spacing w:after="200"/>
      </w:pPr>
      <w:r>
        <w:rPr>
          <w:i/>
          <w:iCs/>
        </w:rPr>
        <w:t xml:space="preserve">Nenhum valor numérico definitivo (limiar de suporte/confiança, número de clusters) pode ser fixado antes de haver dado real ou simulado suficiente para calibração — registrar isso explicitamente na metodologia do TG.</w:t>
      </w:r>
    </w:p>
    <w:p>
      <w:pPr>
        <w:pStyle w:val="Heading1"/>
        <w:spacing w:after="150" w:before="300"/>
      </w:pPr>
      <w:r>
        <w:t xml:space="preserve">4. Requisitos Não Funcionais (RNF)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1600"/>
        <w:gridCol w:w="2900"/>
      </w:tblGrid>
      <w:tr>
        <w:trPr>
          <w:tblHeader/>
        </w:trPr>
        <w:tc>
          <w:tcPr>
            <w:tcW w:type="dxa" w:w="7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43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16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29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Justificativa / Origem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RNF01</w:t>
            </w:r>
          </w:p>
        </w:tc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deve refletir um novo pedido registrado na comanda em, no máximo, X segundos (valor a definir).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Desempenho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Maior incômodo relatado pelos clientes (50%); confirmado na entrevista (travamentos do sistema atual do Cocobambu).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RNF02</w:t>
            </w:r>
          </w:p>
        </w:tc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 interface de comanda do Garçom deve permitir abrir mesa e registrar pedido em, no máximo, N toques/passos (valor a definir).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Usabilidade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Meta testável ligada ao mesmo achado de demora.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RNF03</w:t>
            </w:r>
          </w:p>
        </w:tc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Dados pessoais do cliente devem ser armazenados com minimização e acesso restrito por papel.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Privacidade / LGPD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Princípio de minimização (LGPD, Art. 6º).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RNF04</w:t>
            </w:r>
          </w:p>
        </w:tc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Cada papel (Gerente, Coordenador, Metre, Garçom) deve ter permissões de leitura/escrita distintas conforme matriz de acesso.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Segurança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RBAC, já modelado para o front-of-house.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RNF05</w:t>
            </w:r>
          </w:p>
        </w:tc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núcleo do módulo de comanda deve estar operacional durante todo o horário de funcionamento.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Disponibilidade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Alimenta os blocos analíticos — indisponibilidade compromete toda a operação.</w:t>
            </w:r>
          </w:p>
        </w:tc>
      </w:tr>
    </w:tbl>
    <w:p>
      <w:pPr>
        <w:pStyle w:val="Heading1"/>
        <w:spacing w:after="150" w:before="300"/>
      </w:pPr>
      <w:r>
        <w:t xml:space="preserve">5. Regras de Negócio (RN)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3900"/>
      </w:tblGrid>
      <w:tr>
        <w:trPr>
          <w:tblHeader/>
        </w:trPr>
        <w:tc>
          <w:tcPr>
            <w:tcW w:type="dxa" w:w="7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49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9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Racional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RN01</w:t>
            </w:r>
          </w:p>
        </w:tc>
        <w:tc>
          <w:tcPr>
            <w:tcW w:type="dxa" w:w="4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Composição da mesa: Solo (1) / Casal (2) / Grupo pequeno (3–4, sem item infantil) / Família (3+, com item infantil) / Grupo grande (5+).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Fechado em 13/08/2026; confirmado pela entrevista — sem item infantil pedido, não há sinal para inferir sozinho.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RN02</w:t>
            </w:r>
          </w:p>
        </w:tc>
        <w:tc>
          <w:tcPr>
            <w:tcW w:type="dxa" w:w="4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Uma comanda só pode ser fechada se todos os itens estiverem "entregue" ou com cancelamento justificado; itens pendentes ficam visíveis como lembrete ativo (não só trava de fechamento).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Refinado pela entrevista — evita itens esquecidos (ex.: água) até o momento do fechamento.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RN03</w:t>
            </w:r>
          </w:p>
        </w:tc>
        <w:tc>
          <w:tcPr>
            <w:tcW w:type="dxa" w:w="4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 alocação de garçons deve equilibrar o faturamento acumulado por garçom, ponderado pelo faturamento médio histórico da praça (ver seção 3.1).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Proposta da dupla (21/08/2026), baseada em entrevista + questionário — pendente de validação final com o orientador.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RN04</w:t>
            </w:r>
          </w:p>
        </w:tc>
        <w:tc>
          <w:tcPr>
            <w:tcW w:type="dxa" w:w="4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Dados pessoais do cliente só acessíveis por Garçom/Metre no contexto da mesa ativa; fora disso, apenas agregado/anonimizado.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LGPD, Art. 6º.</w:t>
            </w:r>
          </w:p>
        </w:tc>
      </w:tr>
      <w:t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RN05</w:t>
            </w:r>
          </w:p>
        </w:tc>
        <w:tc>
          <w:tcPr>
            <w:tcW w:type="dxa" w:w="4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 sistema não deve capturar, inferir ou armazenar atributos sensíveis do cliente para segmentação.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Risco de viés/discriminação; dado de saúde é sensível por definição legal (LGPD, Art. 5º, II).</w:t>
            </w:r>
          </w:p>
        </w:tc>
      </w:tr>
    </w:tbl>
    <w:p>
      <w:pPr>
        <w:pStyle w:val="Heading1"/>
        <w:spacing w:after="150" w:before="300"/>
      </w:pPr>
      <w:r>
        <w:t xml:space="preserve">6. Pendências restantes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Calibração numérica de RNF01/RNF02 (valores de X segundos e N toques).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Calibração numérica dos limiares de suporte/confiança (RF09) — depende de volume de dado.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Validação final de RN03 com o orientador (issue #26) e calibração numérica dos pesos (seção 3.1) — a estrutura da função objetivo já foi fechada (issue #6, 22/08/2026); falta validar formalmente com o orientador e calibrar com dado real/simulado.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Qualificador livre vs. lista fechada para o garçom na composição da mesa — ainda não decidido.</w:t>
      </w:r>
    </w:p>
    <w:p>
      <w:pPr>
        <w:pStyle w:val="Heading1"/>
        <w:spacing w:after="150" w:before="300"/>
      </w:pPr>
      <w:r>
        <w:t xml:space="preserve">7. Próximo passo</w:t>
      </w:r>
    </w:p>
    <w:p>
      <w:pPr>
        <w:spacing w:after="200"/>
      </w:pPr>
      <w:r>
        <w:t xml:space="preserve">Sprint 1 encerra em 22/08/2026 com os artefatos de requisitos fechados: RF/RNF/RN, Matriz de Rastreabilidade, User Stories. Notação de diagramas confirmada (UML). Único item que carrega para a próxima feature/sprint: validação final de RN03 com o orientador + calibração numérica (issue #26).</w:t>
      </w:r>
    </w:p>
    <w:p>
      <w:pPr>
        <w:spacing w:after="200"/>
      </w:pPr>
      <w:r>
        <w:t xml:space="preserve">Business Model Canvas, MER/DER e diagramas de apoio (UML) ficam formalmente para a Sprint 2.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2026-08-22T19:09:31.054Z</dcterms:created>
  <dcterms:modified xsi:type="dcterms:W3CDTF">2026-08-22T19:09:31.065Z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