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800"/>
        <w:jc w:val="center"/>
      </w:pPr>
      <w:r>
        <w:rPr>
          <w:b/>
          <w:bCs/>
          <w:color w:val="1F3864"/>
          <w:sz w:val="56"/>
          <w:szCs w:val="56"/>
        </w:rPr>
        <w:t xml:space="preserve">GASTRA</w:t>
      </w:r>
    </w:p>
    <w:p>
      <w:pPr>
        <w:spacing w:after="60"/>
        <w:jc w:val="center"/>
      </w:pPr>
      <w:r>
        <w:rPr>
          <w:b/>
          <w:bCs/>
          <w:color w:val="3B6E8F"/>
          <w:sz w:val="32"/>
          <w:szCs w:val="32"/>
        </w:rPr>
        <w:t xml:space="preserve">Requisitos e Regras de Negócio</w:t>
      </w:r>
    </w:p>
    <w:p>
      <w:pPr>
        <w:spacing w:after="600"/>
        <w:jc w:val="center"/>
      </w:pPr>
      <w:r>
        <w:rPr>
          <w:i/>
          <w:iCs/>
          <w:color w:val="595959"/>
          <w:sz w:val="22"/>
          <w:szCs w:val="22"/>
        </w:rPr>
        <w:t xml:space="preserve">Módulo de comandas (adicional) e blocos analíticos — documento de trabalho</w:t>
      </w:r>
    </w:p>
    <w:p>
      <w:pPr>
        <w:spacing w:after="40"/>
        <w:jc w:val="center"/>
      </w:pPr>
      <w:r>
        <w:rPr>
          <w:sz w:val="22"/>
          <w:szCs w:val="22"/>
        </w:rPr>
        <w:t xml:space="preserve">TG — FATEC Araraquara</w:t>
      </w:r>
    </w:p>
    <w:p>
      <w:pPr>
        <w:spacing w:after="40"/>
        <w:jc w:val="center"/>
      </w:pPr>
      <w:r>
        <w:rPr>
          <w:sz w:val="22"/>
          <w:szCs w:val="22"/>
        </w:rPr>
        <w:t xml:space="preserve">Autores: Daniel Velluto Bento e Pedro Luis Otrente de Campos</w:t>
      </w:r>
    </w:p>
    <w:p>
      <w:pPr>
        <w:spacing w:after="40"/>
        <w:jc w:val="center"/>
      </w:pPr>
      <w:r>
        <w:rPr>
          <w:sz w:val="22"/>
          <w:szCs w:val="22"/>
        </w:rPr>
        <w:t xml:space="preserve">Orientador: Prof. Me. Leonardo José de Lima Ferrucci</w:t>
      </w:r>
    </w:p>
    <w:p>
      <w:pPr>
        <w:spacing w:after="900"/>
        <w:jc w:val="center"/>
      </w:pPr>
      <w:r>
        <w:rPr>
          <w:color w:val="595959"/>
          <w:sz w:val="20"/>
          <w:szCs w:val="20"/>
        </w:rPr>
        <w:t xml:space="preserve">Versão: 23/08/2026 — RF12 removido (issue #53), RF14 incluído (issue #7), RN03 com nota de acompanhamento (issue #54)</w:t>
      </w:r>
    </w:p>
    <w:p>
      <w:r>
        <w:br w:type="page"/>
      </w:r>
    </w:p>
    <w:p>
      <w:pPr>
        <w:pStyle w:val="Heading1"/>
        <w:spacing w:after="160" w:before="320"/>
      </w:pPr>
      <w:r>
        <w:t xml:space="preserve">0. O que mudou nesta versão (23/08/2026)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RF12 ("Cliente solicita exclusão do histórico de pedidos") foi removido do escopo — contradizia a decisão de não reter identificador persistente do cliente entre visitas (RN04/RN05). Resolução documentada na seção 5.1 e no GASTRA_Pendencias_Orientador.docx.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RF14 foi incluído — formaliza a decisão híbrida (lista fechada + campo livre) para o garçom registrar restrição/preferência alimentar informada voluntariamente pelo cliente (issue #7).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RN03 (seção 3.1) recebe nota de acompanhamento: a validação estrutural com o orientador passou a ser rastreada pela issue #54 (sub-issue de #5); a calibração numérica dos pesos permanece na issue #55, sem dado disponível ainda.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Os dados de questionário e entrevista que embasam este documento agora têm um artefato próprio, versionado: GASTRA_Dados_Processados.docx (data-science/data/processed/).</w:t>
      </w:r>
    </w:p>
    <w:p>
      <w:pPr>
        <w:pStyle w:val="Heading1"/>
        <w:spacing w:after="160" w:before="320"/>
      </w:pPr>
      <w:r>
        <w:t xml:space="preserve">1. Escopo considerado neste documento</w:t>
      </w:r>
    </w:p>
    <w:p>
      <w:pPr>
        <w:spacing w:after="160"/>
      </w:pPr>
      <w:r>
        <w:t xml:space="preserve">Atualização de escopo validada com o orientador (21/08/2026): o foco do TG permanece nos quatro blocos analíticos originais do projeto de pesquisa formal (Gastra.pdf) — BI, Ciência de Dados, Programação Linear e LGPD. O módulo de comandas foi aprovado, mas como componente adicional que alimenta esses blocos com dados operacionais reais, não como entrega central do trabalho.</w:t>
      </w:r>
    </w:p>
    <w:p>
      <w:pPr>
        <w:spacing w:after="160"/>
      </w:pPr>
      <w:r>
        <w:t xml:space="preserve">Dentro do módulo de comandas, há uma subdivisão de prioridade que precisa ficar clara em qualquer leitura deste documento: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Núcleo do módulo de comandas (abrir/registrar pedido/fechar comanda) — aprovado como adicional necessário.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Extras condicionados a tempo disponível: cardápio digital para consulta (opção B), consulta da comanda em tempo real pelo cliente, e lista de pendências do garçom.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Fora do escopo do TG: qualquer integração com a cozinha — feature futura, pós-defesa.</w:t>
      </w:r>
    </w:p>
    <w:p>
      <w:pPr>
        <w:pStyle w:val="Heading1"/>
        <w:spacing w:after="160" w:before="320"/>
      </w:pPr>
      <w:r>
        <w:t xml:space="preserve">2. Requisitos Funcionais (RF)</w:t>
      </w:r>
    </w:p>
    <w:p>
      <w:pPr>
        <w:spacing w:after="160"/>
      </w:pPr>
      <w:r>
        <w:t xml:space="preserve">Um Requisito Funcional descreve algo que o sistema deve fazer — uma função ou comportamento observável, associado a um ator que a aciona ou que dela se beneficia.</w:t>
      </w:r>
    </w:p>
    <w:tbl>
      <w:tblPr>
        <w:tblW w:type="dxa" w:w="10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200"/>
        <w:gridCol w:w="1500"/>
        <w:gridCol w:w="2900"/>
      </w:tblGrid>
      <w:tr>
        <w:trPr>
          <w:tblHeader/>
        </w:trPr>
        <w:tc>
          <w:tcPr>
            <w:tcW w:type="dxa" w:w="900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5200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Ator(es)</w:t>
            </w:r>
          </w:p>
        </w:tc>
        <w:tc>
          <w:tcPr>
            <w:tcW w:type="dxa" w:w="2900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Justificativa / Origem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9"/>
                <w:szCs w:val="19"/>
              </w:rPr>
              <w:t xml:space="preserve">RF01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O sistema deve permitir que o Garçom abra uma comanda vinculada a uma mesa específica.</w:t>
            </w:r>
          </w:p>
        </w:tc>
        <w:tc>
          <w:tcPr>
            <w:tcW w:type="dxa" w:w="1500"/>
            <w:vAlign w:val="center"/>
          </w:tcPr>
          <w:p>
            <w:r>
              <w:rPr>
                <w:sz w:val="19"/>
                <w:szCs w:val="19"/>
              </w:rPr>
              <w:t xml:space="preserve">Garçom</w:t>
            </w:r>
          </w:p>
        </w:tc>
        <w:tc>
          <w:tcPr>
            <w:tcW w:type="dxa" w:w="2900"/>
            <w:vAlign w:val="center"/>
          </w:tcPr>
          <w:p>
            <w:r>
              <w:rPr>
                <w:sz w:val="19"/>
                <w:szCs w:val="19"/>
              </w:rPr>
              <w:t xml:space="preserve">Núcleo do módulo de comandas — adicional aprovado (21/08/2026).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9"/>
                <w:szCs w:val="19"/>
              </w:rPr>
              <w:t xml:space="preserve">RF02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O sistema deve sugerir automaticamente a composição da mesa, permitindo ao Garçom confirmar ou ajustar.</w:t>
            </w:r>
          </w:p>
        </w:tc>
        <w:tc>
          <w:tcPr>
            <w:tcW w:type="dxa" w:w="1500"/>
            <w:vAlign w:val="center"/>
          </w:tcPr>
          <w:p>
            <w:r>
              <w:rPr>
                <w:sz w:val="19"/>
                <w:szCs w:val="19"/>
              </w:rPr>
              <w:t xml:space="preserve">Garçom</w:t>
            </w:r>
          </w:p>
        </w:tc>
        <w:tc>
          <w:tcPr>
            <w:tcW w:type="dxa" w:w="2900"/>
            <w:vAlign w:val="center"/>
          </w:tcPr>
          <w:p>
            <w:r>
              <w:rPr>
                <w:sz w:val="19"/>
                <w:szCs w:val="19"/>
              </w:rPr>
              <w:t xml:space="preserve">Decisão de design (13/08/2026); confirmado por entrevista.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9"/>
                <w:szCs w:val="19"/>
              </w:rPr>
              <w:t xml:space="preserve">RF03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O sistema deve permitir ao Garçom registrar os itens do pedido associados à comanda aberta, com lista de pendências visível.</w:t>
            </w:r>
          </w:p>
        </w:tc>
        <w:tc>
          <w:tcPr>
            <w:tcW w:type="dxa" w:w="1500"/>
            <w:vAlign w:val="center"/>
          </w:tcPr>
          <w:p>
            <w:r>
              <w:rPr>
                <w:sz w:val="19"/>
                <w:szCs w:val="19"/>
              </w:rPr>
              <w:t xml:space="preserve">Garçom</w:t>
            </w:r>
          </w:p>
        </w:tc>
        <w:tc>
          <w:tcPr>
            <w:tcW w:type="dxa" w:w="2900"/>
            <w:vAlign w:val="center"/>
          </w:tcPr>
          <w:p>
            <w:r>
              <w:rPr>
                <w:sz w:val="19"/>
                <w:szCs w:val="19"/>
              </w:rPr>
              <w:t xml:space="preserve">Núcleo do módulo de comandas + entrevista (achado espontâneo sobre itens esquecidos).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9"/>
                <w:szCs w:val="19"/>
              </w:rPr>
              <w:t xml:space="preserve">RF04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O sistema deve permitir ao Garçom fechar a comanda, calculando o valor total com taxa de serviço.</w:t>
            </w:r>
          </w:p>
        </w:tc>
        <w:tc>
          <w:tcPr>
            <w:tcW w:type="dxa" w:w="1500"/>
            <w:vAlign w:val="center"/>
          </w:tcPr>
          <w:p>
            <w:r>
              <w:rPr>
                <w:sz w:val="19"/>
                <w:szCs w:val="19"/>
              </w:rPr>
              <w:t xml:space="preserve">Garçom</w:t>
            </w:r>
          </w:p>
        </w:tc>
        <w:tc>
          <w:tcPr>
            <w:tcW w:type="dxa" w:w="2900"/>
            <w:vAlign w:val="center"/>
          </w:tcPr>
          <w:p>
            <w:r>
              <w:rPr>
                <w:sz w:val="19"/>
                <w:szCs w:val="19"/>
              </w:rPr>
              <w:t xml:space="preserve">Núcleo do módulo de comandas — adicional aprovado.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9"/>
                <w:szCs w:val="19"/>
              </w:rPr>
              <w:t xml:space="preserve">RF05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O sistema deve permitir ao Cliente consultar, via QR code ou tablet, o cardápio digital com fotos, preço e flags dietéticas, sem função de pedido.</w:t>
            </w:r>
          </w:p>
        </w:tc>
        <w:tc>
          <w:tcPr>
            <w:tcW w:type="dxa" w:w="1500"/>
            <w:vAlign w:val="center"/>
          </w:tcPr>
          <w:p>
            <w:r>
              <w:rPr>
                <w:sz w:val="19"/>
                <w:szCs w:val="19"/>
              </w:rPr>
              <w:t xml:space="preserve">Cliente (condicional)</w:t>
            </w:r>
          </w:p>
        </w:tc>
        <w:tc>
          <w:tcPr>
            <w:tcW w:type="dxa" w:w="2900"/>
            <w:vAlign w:val="center"/>
          </w:tcPr>
          <w:p>
            <w:r>
              <w:rPr>
                <w:sz w:val="19"/>
                <w:szCs w:val="19"/>
              </w:rPr>
              <w:t xml:space="preserve">EXTRA — condicionado a tempo. 77% dos clientes relatam dificuldade com flags dietéticas (GASTRA_Dados_Processados.docx, seção 2.1).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9"/>
                <w:szCs w:val="19"/>
              </w:rPr>
              <w:t xml:space="preserve">RF06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O sistema deve calcular uma sugestão de alocação de garçons às mesas/praças com base em programação linear (RN03).</w:t>
            </w:r>
          </w:p>
        </w:tc>
        <w:tc>
          <w:tcPr>
            <w:tcW w:type="dxa" w:w="1500"/>
            <w:vAlign w:val="center"/>
          </w:tcPr>
          <w:p>
            <w:r>
              <w:rPr>
                <w:sz w:val="19"/>
                <w:szCs w:val="19"/>
              </w:rPr>
              <w:t xml:space="preserve">Sistema / Metre</w:t>
            </w:r>
          </w:p>
        </w:tc>
        <w:tc>
          <w:tcPr>
            <w:tcW w:type="dxa" w:w="2900"/>
            <w:vAlign w:val="center"/>
          </w:tcPr>
          <w:p>
            <w:r>
              <w:rPr>
                <w:sz w:val="19"/>
                <w:szCs w:val="19"/>
              </w:rPr>
              <w:t xml:space="preserve">Escopo original, bloco de Programação Linear.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9"/>
                <w:szCs w:val="19"/>
              </w:rPr>
              <w:t xml:space="preserve">RF07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O sistema deve permitir ao Metre visualizar e ajustar manualmente a alocação sugerida antes de confirmá-la.</w:t>
            </w:r>
          </w:p>
        </w:tc>
        <w:tc>
          <w:tcPr>
            <w:tcW w:type="dxa" w:w="1500"/>
            <w:vAlign w:val="center"/>
          </w:tcPr>
          <w:p>
            <w:r>
              <w:rPr>
                <w:sz w:val="19"/>
                <w:szCs w:val="19"/>
              </w:rPr>
              <w:t xml:space="preserve">Metre</w:t>
            </w:r>
          </w:p>
        </w:tc>
        <w:tc>
          <w:tcPr>
            <w:tcW w:type="dxa" w:w="2900"/>
            <w:vAlign w:val="center"/>
          </w:tcPr>
          <w:p>
            <w:r>
              <w:rPr>
                <w:sz w:val="19"/>
                <w:szCs w:val="19"/>
              </w:rPr>
              <w:t xml:space="preserve">Mantém decisão humana final; reforçado pela entrevista.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9"/>
                <w:szCs w:val="19"/>
              </w:rPr>
              <w:t xml:space="preserve">RF08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O sistema deve registrar o histórico de alocações e faturamento por praça para uso no RN03 e em BI.</w:t>
            </w:r>
          </w:p>
        </w:tc>
        <w:tc>
          <w:tcPr>
            <w:tcW w:type="dxa" w:w="1500"/>
            <w:vAlign w:val="center"/>
          </w:tcPr>
          <w:p>
            <w:r>
              <w:rPr>
                <w:sz w:val="19"/>
                <w:szCs w:val="19"/>
              </w:rPr>
              <w:t xml:space="preserve">Sistema</w:t>
            </w:r>
          </w:p>
        </w:tc>
        <w:tc>
          <w:tcPr>
            <w:tcW w:type="dxa" w:w="2900"/>
            <w:vAlign w:val="center"/>
          </w:tcPr>
          <w:p>
            <w:r>
              <w:rPr>
                <w:sz w:val="19"/>
                <w:szCs w:val="19"/>
              </w:rPr>
              <w:t xml:space="preserve">Escopo original + entrevista.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9"/>
                <w:szCs w:val="19"/>
              </w:rPr>
              <w:t xml:space="preserve">RF09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O sistema deve sugerir combinações de pratos ao Garçom com base em clusterização e regras de associação.</w:t>
            </w:r>
          </w:p>
        </w:tc>
        <w:tc>
          <w:tcPr>
            <w:tcW w:type="dxa" w:w="1500"/>
            <w:vAlign w:val="center"/>
          </w:tcPr>
          <w:p>
            <w:r>
              <w:rPr>
                <w:sz w:val="19"/>
                <w:szCs w:val="19"/>
              </w:rPr>
              <w:t xml:space="preserve">Garçom</w:t>
            </w:r>
          </w:p>
        </w:tc>
        <w:tc>
          <w:tcPr>
            <w:tcW w:type="dxa" w:w="2900"/>
            <w:vAlign w:val="center"/>
          </w:tcPr>
          <w:p>
            <w:r>
              <w:rPr>
                <w:sz w:val="19"/>
                <w:szCs w:val="19"/>
              </w:rPr>
              <w:t xml:space="preserve">Escopo original, bloco de Ciência de Dados.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9"/>
                <w:szCs w:val="19"/>
              </w:rPr>
              <w:t xml:space="preserve">RF10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O sistema deve exibir ao Gerente relatórios agregados de faturamento por praça e por garçom, com os KPIs da seção 3.</w:t>
            </w:r>
          </w:p>
        </w:tc>
        <w:tc>
          <w:tcPr>
            <w:tcW w:type="dxa" w:w="1500"/>
            <w:vAlign w:val="center"/>
          </w:tcPr>
          <w:p>
            <w:r>
              <w:rPr>
                <w:sz w:val="19"/>
                <w:szCs w:val="19"/>
              </w:rPr>
              <w:t xml:space="preserve">Gerente</w:t>
            </w:r>
          </w:p>
        </w:tc>
        <w:tc>
          <w:tcPr>
            <w:tcW w:type="dxa" w:w="2900"/>
            <w:vAlign w:val="center"/>
          </w:tcPr>
          <w:p>
            <w:r>
              <w:rPr>
                <w:sz w:val="19"/>
                <w:szCs w:val="19"/>
              </w:rPr>
              <w:t xml:space="preserve">Escopo original, bloco de BI.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9"/>
                <w:szCs w:val="19"/>
              </w:rPr>
              <w:t xml:space="preserve">RF11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O sistema deve exibir um índice composto de desempenho dos garçons (não apenas venda) para ranking/gamificação.</w:t>
            </w:r>
          </w:p>
        </w:tc>
        <w:tc>
          <w:tcPr>
            <w:tcW w:type="dxa" w:w="1500"/>
            <w:vAlign w:val="center"/>
          </w:tcPr>
          <w:p>
            <w:r>
              <w:rPr>
                <w:sz w:val="19"/>
                <w:szCs w:val="19"/>
              </w:rPr>
              <w:t xml:space="preserve">Gerente, Garçom</w:t>
            </w:r>
          </w:p>
        </w:tc>
        <w:tc>
          <w:tcPr>
            <w:tcW w:type="dxa" w:w="2900"/>
            <w:vAlign w:val="center"/>
          </w:tcPr>
          <w:p>
            <w:r>
              <w:rPr>
                <w:sz w:val="19"/>
                <w:szCs w:val="19"/>
              </w:rPr>
              <w:t xml:space="preserve">Refinado pela entrevista.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9"/>
                <w:szCs w:val="19"/>
              </w:rPr>
              <w:t xml:space="preserve">RF13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O sistema deve permitir ao Cliente consultar sua comanda em tempo real (itens já lançados e valor parcial).</w:t>
            </w:r>
          </w:p>
        </w:tc>
        <w:tc>
          <w:tcPr>
            <w:tcW w:type="dxa" w:w="1500"/>
            <w:vAlign w:val="center"/>
          </w:tcPr>
          <w:p>
            <w:r>
              <w:rPr>
                <w:sz w:val="19"/>
                <w:szCs w:val="19"/>
              </w:rPr>
              <w:t xml:space="preserve">Cliente (condicional)</w:t>
            </w:r>
          </w:p>
        </w:tc>
        <w:tc>
          <w:tcPr>
            <w:tcW w:type="dxa" w:w="2900"/>
            <w:vAlign w:val="center"/>
          </w:tcPr>
          <w:p>
            <w:r>
              <w:rPr>
                <w:sz w:val="19"/>
                <w:szCs w:val="19"/>
              </w:rPr>
              <w:t xml:space="preserve">EXTRA — condicionado a tempo. Achado da entrevista: reduz disputa de conta.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9"/>
                <w:szCs w:val="19"/>
              </w:rPr>
              <w:t xml:space="preserve">RF14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O sistema deve permitir ao Garçom registrar a restrição/preferência alimentar informada voluntariamente pelo cliente, combinando lista fechada de categorias comuns com um campo de observação livre vinculado à comanda ativa.</w:t>
            </w:r>
          </w:p>
        </w:tc>
        <w:tc>
          <w:tcPr>
            <w:tcW w:type="dxa" w:w="1500"/>
            <w:vAlign w:val="center"/>
          </w:tcPr>
          <w:p>
            <w:r>
              <w:rPr>
                <w:sz w:val="19"/>
                <w:szCs w:val="19"/>
              </w:rPr>
              <w:t xml:space="preserve">Garçom</w:t>
            </w:r>
          </w:p>
        </w:tc>
        <w:tc>
          <w:tcPr>
            <w:tcW w:type="dxa" w:w="2900"/>
            <w:vAlign w:val="center"/>
          </w:tcPr>
          <w:p>
            <w:r>
              <w:rPr>
                <w:sz w:val="19"/>
                <w:szCs w:val="19"/>
              </w:rPr>
              <w:t xml:space="preserve">NOVO (23/08/2026, issue #7). O campo estruturado alimenta o Bloco de Ciência de Dados (RF09); o campo livre é lembrete operacional, não entra na análise.</w:t>
            </w:r>
          </w:p>
        </w:tc>
      </w:tr>
    </w:tbl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RF12 ("Cliente solicita exclusão do histórico de pedidos") foi removido nesta versão — ver seção 5.1.</w:t>
      </w:r>
    </w:p>
    <w:p>
      <w:pPr>
        <w:pStyle w:val="Heading1"/>
        <w:spacing w:after="160" w:before="320"/>
      </w:pPr>
      <w:r>
        <w:t xml:space="preserve">3. KPIs e critérios analíticos (proposta da dupla — pendente de validação final)</w:t>
      </w:r>
    </w:p>
    <w:p>
      <w:pPr>
        <w:pStyle w:val="Heading2"/>
        <w:spacing w:after="120" w:before="240"/>
      </w:pPr>
      <w:r>
        <w:t xml:space="preserve">3.1 Critério de rotação/alocação de garçons (RN03)</w:t>
      </w:r>
    </w:p>
    <w:p>
      <w:pPr>
        <w:spacing w:after="160"/>
      </w:pPr>
      <w:r>
        <w:t xml:space="preserve">Proposta: equilibrar o faturamento acumulado por garçom ao longo de um período de referência, ponderando a alocação pelo faturamento médio histórico de cada praça — garçons alocados repetidamente em praças de menor potencial ganham prioridade em praças de maior potencial nas rodadas seguintes, e vice-versa.</w:t>
      </w:r>
    </w:p>
    <w:p>
      <w:pPr>
        <w:spacing w:after="160"/>
      </w:pPr>
      <w:r>
        <w:t xml:space="preserve">Racional: descarta as hipóteses "minimizar tempo de espera" e "maximizar gorjeta total" por não terem aparecido como dor espontânea nem na entrevista nem no questionário; a dor relatada foi especificamente desigualdade percebida entre praças (ver GASTRA_Dados_Processados.docx, seção 3).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Status (23/08/2026): a estrutura da função objetivo está fechada (issue #6). Validação formal com o orientador é rastreada pela issue #54 (sub-issue de #5, pauta da próxima reunião — ver GASTRA_Pendencias_Orientador.docx). Calibração numérica dos pesos é rastreada pela issue #55, ainda bloqueada por falta de dado real/simulado.</w:t>
      </w:r>
    </w:p>
    <w:p>
      <w:pPr>
        <w:pStyle w:val="Heading2"/>
        <w:spacing w:after="120" w:before="240"/>
      </w:pPr>
      <w:r>
        <w:t xml:space="preserve">3.2 KPIs de BI (RF10) e índice de ranking (RF11)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Faturamento total e médio por garçom, por período.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Faturamento médio histórico por praça (alimenta o RN03).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Ticket médio por mesa atendida.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Tempo médio de atendimento (abertura → fechamento da comanda).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Índice composto de desempenho: combina faturamento + nº de mesas atendidas.</w:t>
      </w:r>
    </w:p>
    <w:p>
      <w:pPr>
        <w:pStyle w:val="Heading2"/>
        <w:spacing w:after="120" w:before="240"/>
      </w:pPr>
      <w:r>
        <w:t xml:space="preserve">3.3 Critério de recomendação de pratos (RF09)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Regras de associação: limiares mínimos de suporte e confiança — a calibrar quando houver volume de dado suficiente.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Clusterização por padrão de consumo observável (nunca atributo sensível — RN05); número de clusters a definir experimentalmente.</w:t>
      </w:r>
    </w:p>
    <w:p>
      <w:pPr>
        <w:pStyle w:val="Heading1"/>
        <w:spacing w:after="160" w:before="320"/>
      </w:pPr>
      <w:r>
        <w:t xml:space="preserve">4. Requisitos Não Funcionais (RNF)</w:t>
      </w:r>
    </w:p>
    <w:tbl>
      <w:tblPr>
        <w:tblW w:type="dxa" w:w="10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300"/>
        <w:gridCol w:w="1800"/>
        <w:gridCol w:w="2300"/>
      </w:tblGrid>
      <w:tr>
        <w:trPr>
          <w:tblHeader/>
        </w:trPr>
        <w:tc>
          <w:tcPr>
            <w:tcW w:type="dxa" w:w="1100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5300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800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2300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Justificativa / Origem</w:t>
            </w:r>
          </w:p>
        </w:tc>
      </w:tr>
      <w:tr>
        <w:tc>
          <w:tcPr>
            <w:tcW w:type="dxa" w:w="1100"/>
            <w:vAlign w:val="center"/>
          </w:tcPr>
          <w:p>
            <w:r>
              <w:rPr>
                <w:sz w:val="19"/>
                <w:szCs w:val="19"/>
              </w:rPr>
              <w:t xml:space="preserve">RNF01</w:t>
            </w:r>
          </w:p>
        </w:tc>
        <w:tc>
          <w:tcPr>
            <w:tcW w:type="dxa" w:w="5300"/>
            <w:vAlign w:val="center"/>
          </w:tcPr>
          <w:p>
            <w:r>
              <w:rPr>
                <w:sz w:val="19"/>
                <w:szCs w:val="19"/>
              </w:rPr>
              <w:t xml:space="preserve">O sistema deve refletir um novo pedido registrado na comanda em, no máximo, X segundos (valor a definir).</w:t>
            </w:r>
          </w:p>
        </w:tc>
        <w:tc>
          <w:tcPr>
            <w:tcW w:type="dxa" w:w="1800"/>
            <w:vAlign w:val="center"/>
          </w:tcPr>
          <w:p>
            <w:r>
              <w:rPr>
                <w:sz w:val="19"/>
                <w:szCs w:val="19"/>
              </w:rPr>
              <w:t xml:space="preserve">Desempenho</w:t>
            </w:r>
          </w:p>
        </w:tc>
        <w:tc>
          <w:tcPr>
            <w:tcW w:type="dxa" w:w="2300"/>
            <w:vAlign w:val="center"/>
          </w:tcPr>
          <w:p>
            <w:r>
              <w:rPr>
                <w:sz w:val="19"/>
                <w:szCs w:val="19"/>
              </w:rPr>
              <w:t xml:space="preserve">Maior incômodo relatado pelos clientes; confirmado na entrevista (travamentos do sistema atual).</w:t>
            </w:r>
          </w:p>
        </w:tc>
      </w:tr>
      <w:tr>
        <w:tc>
          <w:tcPr>
            <w:tcW w:type="dxa" w:w="1100"/>
            <w:vAlign w:val="center"/>
          </w:tcPr>
          <w:p>
            <w:r>
              <w:rPr>
                <w:sz w:val="19"/>
                <w:szCs w:val="19"/>
              </w:rPr>
              <w:t xml:space="preserve">RNF02</w:t>
            </w:r>
          </w:p>
        </w:tc>
        <w:tc>
          <w:tcPr>
            <w:tcW w:type="dxa" w:w="5300"/>
            <w:vAlign w:val="center"/>
          </w:tcPr>
          <w:p>
            <w:r>
              <w:rPr>
                <w:sz w:val="19"/>
                <w:szCs w:val="19"/>
              </w:rPr>
              <w:t xml:space="preserve">A interface de comanda do Garçom deve permitir abrir mesa e registrar pedido em, no máximo, N toques (valor a definir).</w:t>
            </w:r>
          </w:p>
        </w:tc>
        <w:tc>
          <w:tcPr>
            <w:tcW w:type="dxa" w:w="1800"/>
            <w:vAlign w:val="center"/>
          </w:tcPr>
          <w:p>
            <w:r>
              <w:rPr>
                <w:sz w:val="19"/>
                <w:szCs w:val="19"/>
              </w:rPr>
              <w:t xml:space="preserve">Usabilidade</w:t>
            </w:r>
          </w:p>
        </w:tc>
        <w:tc>
          <w:tcPr>
            <w:tcW w:type="dxa" w:w="2300"/>
            <w:vAlign w:val="center"/>
          </w:tcPr>
          <w:p>
            <w:r>
              <w:rPr>
                <w:sz w:val="19"/>
                <w:szCs w:val="19"/>
              </w:rPr>
              <w:t xml:space="preserve">Meta testável ligada ao mesmo achado de demora.</w:t>
            </w:r>
          </w:p>
        </w:tc>
      </w:tr>
      <w:tr>
        <w:tc>
          <w:tcPr>
            <w:tcW w:type="dxa" w:w="1100"/>
            <w:vAlign w:val="center"/>
          </w:tcPr>
          <w:p>
            <w:r>
              <w:rPr>
                <w:sz w:val="19"/>
                <w:szCs w:val="19"/>
              </w:rPr>
              <w:t xml:space="preserve">RNF03</w:t>
            </w:r>
          </w:p>
        </w:tc>
        <w:tc>
          <w:tcPr>
            <w:tcW w:type="dxa" w:w="5300"/>
            <w:vAlign w:val="center"/>
          </w:tcPr>
          <w:p>
            <w:r>
              <w:rPr>
                <w:sz w:val="19"/>
                <w:szCs w:val="19"/>
              </w:rPr>
              <w:t xml:space="preserve">Dados pessoais do cliente devem ser armazenados com minimização e acesso restrito por papel.</w:t>
            </w:r>
          </w:p>
        </w:tc>
        <w:tc>
          <w:tcPr>
            <w:tcW w:type="dxa" w:w="1800"/>
            <w:vAlign w:val="center"/>
          </w:tcPr>
          <w:p>
            <w:r>
              <w:rPr>
                <w:sz w:val="19"/>
                <w:szCs w:val="19"/>
              </w:rPr>
              <w:t xml:space="preserve">Privacidade / LGPD</w:t>
            </w:r>
          </w:p>
        </w:tc>
        <w:tc>
          <w:tcPr>
            <w:tcW w:type="dxa" w:w="2300"/>
            <w:vAlign w:val="center"/>
          </w:tcPr>
          <w:p>
            <w:r>
              <w:rPr>
                <w:sz w:val="19"/>
                <w:szCs w:val="19"/>
              </w:rPr>
              <w:t xml:space="preserve">Princípio de minimização (LGPD, Art. 6º).</w:t>
            </w:r>
          </w:p>
        </w:tc>
      </w:tr>
      <w:tr>
        <w:tc>
          <w:tcPr>
            <w:tcW w:type="dxa" w:w="1100"/>
            <w:vAlign w:val="center"/>
          </w:tcPr>
          <w:p>
            <w:r>
              <w:rPr>
                <w:sz w:val="19"/>
                <w:szCs w:val="19"/>
              </w:rPr>
              <w:t xml:space="preserve">RNF04</w:t>
            </w:r>
          </w:p>
        </w:tc>
        <w:tc>
          <w:tcPr>
            <w:tcW w:type="dxa" w:w="5300"/>
            <w:vAlign w:val="center"/>
          </w:tcPr>
          <w:p>
            <w:r>
              <w:rPr>
                <w:sz w:val="19"/>
                <w:szCs w:val="19"/>
              </w:rPr>
              <w:t xml:space="preserve">Cada papel (Gerente, Coordenador, Metre, Garçom) deve ter permissões de leitura/escrita distintas.</w:t>
            </w:r>
          </w:p>
        </w:tc>
        <w:tc>
          <w:tcPr>
            <w:tcW w:type="dxa" w:w="1800"/>
            <w:vAlign w:val="center"/>
          </w:tcPr>
          <w:p>
            <w:r>
              <w:rPr>
                <w:sz w:val="19"/>
                <w:szCs w:val="19"/>
              </w:rPr>
              <w:t xml:space="preserve">Segurança</w:t>
            </w:r>
          </w:p>
        </w:tc>
        <w:tc>
          <w:tcPr>
            <w:tcW w:type="dxa" w:w="2300"/>
            <w:vAlign w:val="center"/>
          </w:tcPr>
          <w:p>
            <w:r>
              <w:rPr>
                <w:sz w:val="19"/>
                <w:szCs w:val="19"/>
              </w:rPr>
              <w:t xml:space="preserve">RBAC, já modelado para o front-of-house.</w:t>
            </w:r>
          </w:p>
        </w:tc>
      </w:tr>
      <w:tr>
        <w:tc>
          <w:tcPr>
            <w:tcW w:type="dxa" w:w="1100"/>
            <w:vAlign w:val="center"/>
          </w:tcPr>
          <w:p>
            <w:r>
              <w:rPr>
                <w:sz w:val="19"/>
                <w:szCs w:val="19"/>
              </w:rPr>
              <w:t xml:space="preserve">RNF05</w:t>
            </w:r>
          </w:p>
        </w:tc>
        <w:tc>
          <w:tcPr>
            <w:tcW w:type="dxa" w:w="5300"/>
            <w:vAlign w:val="center"/>
          </w:tcPr>
          <w:p>
            <w:r>
              <w:rPr>
                <w:sz w:val="19"/>
                <w:szCs w:val="19"/>
              </w:rPr>
              <w:t xml:space="preserve">O núcleo do módulo de comanda deve estar operacional durante todo o horário de funcionamento.</w:t>
            </w:r>
          </w:p>
        </w:tc>
        <w:tc>
          <w:tcPr>
            <w:tcW w:type="dxa" w:w="1800"/>
            <w:vAlign w:val="center"/>
          </w:tcPr>
          <w:p>
            <w:r>
              <w:rPr>
                <w:sz w:val="19"/>
                <w:szCs w:val="19"/>
              </w:rPr>
              <w:t xml:space="preserve">Disponibilidade</w:t>
            </w:r>
          </w:p>
        </w:tc>
        <w:tc>
          <w:tcPr>
            <w:tcW w:type="dxa" w:w="2300"/>
            <w:vAlign w:val="center"/>
          </w:tcPr>
          <w:p>
            <w:r>
              <w:rPr>
                <w:sz w:val="19"/>
                <w:szCs w:val="19"/>
              </w:rPr>
              <w:t xml:space="preserve">Alimenta os blocos analíticos.</w:t>
            </w:r>
          </w:p>
        </w:tc>
      </w:tr>
    </w:tbl>
    <w:p>
      <w:pPr>
        <w:pStyle w:val="Heading1"/>
        <w:spacing w:after="160" w:before="320"/>
      </w:pPr>
      <w:r>
        <w:t xml:space="preserve">5. Regras de Negócio (RN)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100"/>
        <w:gridCol w:w="2500"/>
      </w:tblGrid>
      <w:tr>
        <w:trPr>
          <w:tblHeader/>
        </w:trPr>
        <w:tc>
          <w:tcPr>
            <w:tcW w:type="dxa" w:w="900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6100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Regra</w:t>
            </w:r>
          </w:p>
        </w:tc>
        <w:tc>
          <w:tcPr>
            <w:tcW w:type="dxa" w:w="2500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Racional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9"/>
                <w:szCs w:val="19"/>
              </w:rPr>
              <w:t xml:space="preserve">RN01</w:t>
            </w:r>
          </w:p>
        </w:tc>
        <w:tc>
          <w:tcPr>
            <w:tcW w:type="dxa" w:w="6100"/>
            <w:vAlign w:val="center"/>
          </w:tcPr>
          <w:p>
            <w:r>
              <w:rPr>
                <w:sz w:val="19"/>
                <w:szCs w:val="19"/>
              </w:rPr>
              <w:t xml:space="preserve">Composição da mesa: Solo (1) / Casal (2) / Grupo pequeno (3–4, sem item infantil) / Família (3+, com item infantil) / Grupo grande (5+).</w:t>
            </w:r>
          </w:p>
        </w:tc>
        <w:tc>
          <w:tcPr>
            <w:tcW w:type="dxa" w:w="2500"/>
            <w:vAlign w:val="center"/>
          </w:tcPr>
          <w:p>
            <w:r>
              <w:rPr>
                <w:sz w:val="19"/>
                <w:szCs w:val="19"/>
              </w:rPr>
              <w:t xml:space="preserve">Fechado em 13/08/2026; confirmado pela entrevista.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9"/>
                <w:szCs w:val="19"/>
              </w:rPr>
              <w:t xml:space="preserve">RN02</w:t>
            </w:r>
          </w:p>
        </w:tc>
        <w:tc>
          <w:tcPr>
            <w:tcW w:type="dxa" w:w="6100"/>
            <w:vAlign w:val="center"/>
          </w:tcPr>
          <w:p>
            <w:r>
              <w:rPr>
                <w:sz w:val="19"/>
                <w:szCs w:val="19"/>
              </w:rPr>
              <w:t xml:space="preserve">Uma comanda só pode ser fechada se todos os itens estiverem "entregue" ou com cancelamento justificado; itens pendentes ficam visíveis como lembrete ativo.</w:t>
            </w:r>
          </w:p>
        </w:tc>
        <w:tc>
          <w:tcPr>
            <w:tcW w:type="dxa" w:w="2500"/>
            <w:vAlign w:val="center"/>
          </w:tcPr>
          <w:p>
            <w:r>
              <w:rPr>
                <w:sz w:val="19"/>
                <w:szCs w:val="19"/>
              </w:rPr>
              <w:t xml:space="preserve">Refinado pela entrevista — evita itens esquecidos (ex.: água).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9"/>
                <w:szCs w:val="19"/>
              </w:rPr>
              <w:t xml:space="preserve">RN03</w:t>
            </w:r>
          </w:p>
        </w:tc>
        <w:tc>
          <w:tcPr>
            <w:tcW w:type="dxa" w:w="6100"/>
            <w:vAlign w:val="center"/>
          </w:tcPr>
          <w:p>
            <w:r>
              <w:rPr>
                <w:sz w:val="19"/>
                <w:szCs w:val="19"/>
              </w:rPr>
              <w:t xml:space="preserve">A alocação de garçons deve equilibrar o faturamento acumulado por garçom, ponderado pelo faturamento médio histórico da praça (ver seção 3.1).</w:t>
            </w:r>
          </w:p>
        </w:tc>
        <w:tc>
          <w:tcPr>
            <w:tcW w:type="dxa" w:w="2500"/>
            <w:vAlign w:val="center"/>
          </w:tcPr>
          <w:p>
            <w:r>
              <w:rPr>
                <w:sz w:val="19"/>
                <w:szCs w:val="19"/>
              </w:rPr>
              <w:t xml:space="preserve">Proposta da dupla — pendente de validação final com o orientador (issue #54).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9"/>
                <w:szCs w:val="19"/>
              </w:rPr>
              <w:t xml:space="preserve">RN04</w:t>
            </w:r>
          </w:p>
        </w:tc>
        <w:tc>
          <w:tcPr>
            <w:tcW w:type="dxa" w:w="6100"/>
            <w:vAlign w:val="center"/>
          </w:tcPr>
          <w:p>
            <w:r>
              <w:rPr>
                <w:sz w:val="19"/>
                <w:szCs w:val="19"/>
              </w:rPr>
              <w:t xml:space="preserve">Dados pessoais do cliente só acessíveis por Garçom/Metre no contexto da mesa ativa; fora disso, apenas agregado/anonimizado.</w:t>
            </w:r>
          </w:p>
        </w:tc>
        <w:tc>
          <w:tcPr>
            <w:tcW w:type="dxa" w:w="2500"/>
            <w:vAlign w:val="center"/>
          </w:tcPr>
          <w:p>
            <w:r>
              <w:rPr>
                <w:sz w:val="19"/>
                <w:szCs w:val="19"/>
              </w:rPr>
              <w:t xml:space="preserve">LGPD, Art. 6º.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9"/>
                <w:szCs w:val="19"/>
              </w:rPr>
              <w:t xml:space="preserve">RN05</w:t>
            </w:r>
          </w:p>
        </w:tc>
        <w:tc>
          <w:tcPr>
            <w:tcW w:type="dxa" w:w="6100"/>
            <w:vAlign w:val="center"/>
          </w:tcPr>
          <w:p>
            <w:r>
              <w:rPr>
                <w:sz w:val="19"/>
                <w:szCs w:val="19"/>
              </w:rPr>
              <w:t xml:space="preserve">O sistema não deve capturar, inferir ou armazenar atributos sensíveis do cliente para segmentação.</w:t>
            </w:r>
          </w:p>
        </w:tc>
        <w:tc>
          <w:tcPr>
            <w:tcW w:type="dxa" w:w="2500"/>
            <w:vAlign w:val="center"/>
          </w:tcPr>
          <w:p>
            <w:r>
              <w:rPr>
                <w:sz w:val="19"/>
                <w:szCs w:val="19"/>
              </w:rPr>
              <w:t xml:space="preserve">Risco de viés/discriminação; dado de saúde é sensível por definição legal (LGPD, Art. 5º, II).</w:t>
            </w:r>
          </w:p>
        </w:tc>
      </w:tr>
    </w:tbl>
    <w:p>
      <w:pPr>
        <w:pStyle w:val="Heading2"/>
        <w:spacing w:after="120" w:before="240"/>
      </w:pPr>
      <w:r>
        <w:t xml:space="preserve">5.1 Resolução da inconsistência entre RF12 e RN04/RN05 (issue #53)</w:t>
      </w:r>
    </w:p>
    <w:p>
      <w:pPr>
        <w:spacing w:after="160"/>
      </w:pPr>
      <w:r>
        <w:t xml:space="preserve">A versão anterior deste documento incluía RF12 — "o sistema deve permitir ao Cliente solicitar a exclusão do seu histórico de pedidos a qualquer momento", justificado pelo direito ao esquecimento (LGPD). Esse requisito pressupunha um histórico de pedidos persistente e vinculado ao cliente entre visitas diferentes — o que contradiz RN04 e RN05, que proíbem exatamente esse tipo de identificador persistente.</w:t>
      </w:r>
    </w:p>
    <w:p>
      <w:pPr>
        <w:spacing w:after="160"/>
      </w:pPr>
      <w:r>
        <w:t xml:space="preserve">Decisão (23/08/2026): RF12 foi removido do escopo. Como o sistema nunca vincula pedidos a um identificador persistente do cliente — apenas à mesa/comanda da sessão ativa —, não existe, depois do fechamento da comanda e da agregação dos dados, nenhum dado pessoal individualizável para excluir. A minimização de dados por desenho (RNF03 + RN04 + RN05) já atende ao princípio por trás do direito de eliminação (LGPD, Art. 18), tornando uma funcionalidade dedicada de exclusão desnecessária.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Este ponto é tratado com mais detalhe, incluindo o achado de questionário que motivou a discussão (46% dos clientes só se sentem confortáveis com histórico anonimizado se puderem apagá-lo), em GASTRA_Dados_Processados.docx, seção 2.5, e em GASTRA_Pendencias_Orientador.docx, seção 3.</w:t>
      </w:r>
    </w:p>
    <w:p>
      <w:pPr>
        <w:pStyle w:val="Heading1"/>
        <w:spacing w:after="160" w:before="320"/>
      </w:pPr>
      <w:r>
        <w:t xml:space="preserve">6. Pendências restantes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Calibração numérica de RNF01/RNF02 (valores de X segundos e N toques).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Calibração numérica dos limiares de suporte/confiança (RF09) — depende de volume de dado.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Validação final de RN03 com o orientador (issue #54) e calibração numérica dos pesos (issue #55) — estrutura da função objetivo já fechada.</w:t>
      </w:r>
    </w:p>
    <w:p>
      <w:pPr>
        <w:pStyle w:val="Heading1"/>
        <w:spacing w:after="160" w:before="320"/>
      </w:pPr>
      <w:r>
        <w:t xml:space="preserve">7. Próximo passo</w:t>
      </w:r>
    </w:p>
    <w:p>
      <w:pPr>
        <w:spacing w:after="160"/>
      </w:pPr>
      <w:r>
        <w:t xml:space="preserve">Sprint 1 encerrada em 22/08/2026 com os artefatos de requisitos fechados: RF/RNF/RN, Matriz de Rastreabilidade, User Stories, Dados Processados. Notação de diagramas confirmada (UML). Único item que carrega para a próxima feature/sprint: validação final de RN03 com o orientador (issue #54) + calibração numérica (issue #55). Sprint Review, Retrospectiva e Planning da Sprint 2 seguem a reunião com o orientador.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Página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6"/>
        <w:szCs w:val="16"/>
      </w:rPr>
      <w:t xml:space="preserve"> de </w:t>
    </w:r>
    <w:r>
      <w:rPr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GASTRA — Requisitos e Regras de Negócio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3B6E8F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2026-08-23T20:28:43.425Z</dcterms:created>
  <dcterms:modified xsi:type="dcterms:W3CDTF">2026-08-23T20:28:43.425Z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