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FRONTERA EFICIENTE DE MARKOWITZ</w:t>
      </w:r>
    </w:p>
    <w:p>
      <w:pPr>
        <w:pBdr>
          <w:bottom w:val="single" w:color="1F4E79" w:sz="6"/>
        </w:pBdr>
        <w:spacing w:after="6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SPY · TLT · GLD · EEM · MSFT   |   10.000 carteras simuladas (Monte Carlo)   |   Datos diarios: 12-jul-2021 a 10-jul-2026 (Yahoo Finance, 1.255 ruedas)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aps/>
          <w:color w:val="1F4E79"/>
          <w:sz w:val="20"/>
          <w:szCs w:val="20"/>
        </w:rPr>
        <w:t xml:space="preserve">Metodología</w:t>
      </w:r>
    </w:p>
    <w:p>
      <w:pPr>
        <w:spacing w:after="60" w:line="232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Se descargaron precios ajustados y se calcularon retornos diarios de cinco activos de distintas clases. El retorno esperado (μ) y la matriz de varianzas-covarianzas (Σ) se anualizaron con 252 ruedas. Se simularon 10.000 carteras sin venta en corto (pesos ≥ 0 que suman 100%), evaluando cada una con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E(Rp) = w′μ,  σp = √(w′Σw)</w:t>
      </w:r>
      <w:r>
        <w:rPr>
          <w:rFonts w:ascii="Calibri" w:cs="Calibri" w:eastAsia="Calibri" w:hAnsi="Calibri"/>
          <w:sz w:val="18"/>
          <w:szCs w:val="18"/>
        </w:rPr>
        <w:t xml:space="preserve">  y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Sharpe = [E(Rp) − 4%] / σp</w:t>
      </w:r>
      <w:r>
        <w:rPr>
          <w:rFonts w:ascii="Calibri" w:cs="Calibri" w:eastAsia="Calibri" w:hAnsi="Calibri"/>
          <w:sz w:val="18"/>
          <w:szCs w:val="18"/>
        </w:rPr>
        <w:t xml:space="preserve">, con tasa libre de riesgo de 4% anual (T-bill USA).</w:t>
      </w:r>
    </w:p>
    <w:p>
      <w:pPr>
        <w:spacing w:after="0" w:before="4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Figura 1. Riesgo y retorno de las 10.000 carteras simuladas; el color indica el ratio de Sharpe. Cruces grises: activos individuales.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aps/>
          <w:color w:val="1F4E79"/>
          <w:sz w:val="20"/>
          <w:szCs w:val="20"/>
        </w:rPr>
        <w:t xml:space="preserve">Resultados y comparación de ponderaciones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50"/>
        <w:gridCol w:w="285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Máx. Sharpe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Mín. varianza ★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Retorno esperado anual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7"/>
                <w:szCs w:val="17"/>
              </w:rPr>
              <w:t xml:space="preserve">16,0 %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7"/>
                <w:szCs w:val="17"/>
              </w:rPr>
              <w:t xml:space="preserve">6,2 %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Volatilidad anual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7"/>
                <w:szCs w:val="17"/>
              </w:rPr>
              <w:t xml:space="preserve">13,9 %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7"/>
                <w:szCs w:val="17"/>
              </w:rPr>
              <w:t xml:space="preserve">11,1 %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Ratio de Sharpe (rf = 4%)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7"/>
                <w:szCs w:val="17"/>
              </w:rPr>
              <w:t xml:space="preserve">0,86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7"/>
                <w:szCs w:val="17"/>
              </w:rPr>
              <w:t xml:space="preserve">0,20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SPY — Acciones USA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31,5 %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29,8 %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TLT — Bonos Tesoro USA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0,3 %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41,9 %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GLD — Oro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60,9 %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25,2 %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EEM — Emergentes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0,4 %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2,5 %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MSFT — Acción individual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6,9 %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0,7 %</w:t>
            </w:r>
          </w:p>
        </w:tc>
      </w:tr>
    </w:tbl>
    <w:p>
      <w:pPr>
        <w:spacing w:after="40" w:line="232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El portfolio de máximo Sharpe </w:t>
      </w:r>
      <w:r>
        <w:rPr>
          <w:rFonts w:ascii="Calibri" w:cs="Calibri" w:eastAsia="Calibri" w:hAnsi="Calibri"/>
          <w:sz w:val="18"/>
          <w:szCs w:val="18"/>
        </w:rPr>
        <w:t xml:space="preserve">concentra en oro (61%) —el activo de mayor retorno del período (17,8% anual)— y lo combina con SPY (31%), cuya correlación con GLD es de apenas 0,14: esa diversificación baja la volatilidad conjunta sin resignar retorno. Casi descarta MSFT (vol 27% y correlación 0,71 con SPY: aporta riesgo redundante) y EEM. El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portfolio de mínima varianza </w:t>
      </w:r>
      <w:r>
        <w:rPr>
          <w:rFonts w:ascii="Calibri" w:cs="Calibri" w:eastAsia="Calibri" w:hAnsi="Calibri"/>
          <w:sz w:val="18"/>
          <w:szCs w:val="18"/>
        </w:rPr>
        <w:t xml:space="preserve">asigna 42% a TLT a pesar de su retorno negativo (−6,4% anual): lo tiene únicamente porque su correlación casi nula con acciones y oro reduce σ. Es la mejor ilustración del principio de Markowitz: lo que importa no es el riesgo de cada activo aislado sino su covarianza con el resto. El costo es enorme en retorno (6,2% vs. 16,0%), por eso ambos portfolios están sobre la frontera pero en puntos muy distintos.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aps/>
          <w:color w:val="1F4E79"/>
          <w:sz w:val="20"/>
          <w:szCs w:val="20"/>
        </w:rPr>
        <w:t xml:space="preserve">Pregunta para debate</w:t>
      </w:r>
    </w:p>
    <w:p>
      <w:pPr>
        <w:spacing w:after="60" w:line="232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¿Por qué máximo Sharpe ≠ mayor retorno? </w:t>
      </w:r>
      <w:r>
        <w:rPr>
          <w:rFonts w:ascii="Calibri" w:cs="Calibri" w:eastAsia="Calibri" w:hAnsi="Calibri"/>
          <w:sz w:val="18"/>
          <w:szCs w:val="18"/>
        </w:rPr>
        <w:t xml:space="preserve">La cartera de mayor retorno sería 100% GLD (17,8%), pero cargaría 18,4% de volatilidad sin diversificar. El Sharpe premia el retorno excedente por unidad de riesgo: mezclar oro con SPY resigna 1,8 puntos de retorno pero elimina 4,5 puntos de volatilidad, y paga mejor cada punto de riesgo asumido.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Supuestos más frágiles: </w:t>
      </w:r>
      <w:r>
        <w:rPr>
          <w:rFonts w:ascii="Calibri" w:cs="Calibri" w:eastAsia="Calibri" w:hAnsi="Calibri"/>
          <w:sz w:val="18"/>
          <w:szCs w:val="18"/>
        </w:rPr>
        <w:t xml:space="preserve">que μ y Σ históricos valgan hacia adelante (¿alguien hubiera pronosticado en 2021 que el oro superaría a las acciones y que los bonos rendirían negativo?); que la varianza capture todo el riesgo; y la ausencia de costos de transacción, impuestos y errores de estimación. Las correlaciones, además, suelen subir justo en las crisis —acciones y bonos cayeron juntos en 2022—, debilitando la diversificación cuando más se la necesita.</w:t>
      </w:r>
    </w:p>
    <w:p>
      <w:pPr>
        <w:spacing w:before="60"/>
        <w:jc w:val="right"/>
      </w:pPr>
      <w:r>
        <w:rPr>
          <w:rFonts w:ascii="Calibri" w:cs="Calibri" w:eastAsia="Calibri" w:hAnsi="Calibri"/>
          <w:i/>
          <w:iCs/>
          <w:color w:val="595959"/>
          <w:sz w:val="14"/>
          <w:szCs w:val="14"/>
        </w:rPr>
        <w:t xml:space="preserve">Fuente: elaboración propia — simulación Monte Carlo en Python (yfinance, NumPy, Matplotlib). Repo: github.com/danihorowitz02-lab/Finanzas</w:t>
      </w:r>
    </w:p>
    <w:sectPr>
      <w:pgSz w:w="11906" w:h="16838" w:orient="portrait"/>
      <w:pgMar w:top="620" w:right="850" w:bottom="6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fe2b4f8baa6552c172c9b9e62465032a3982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2026-07-10T21:34:46.201Z</dcterms:created>
  <dcterms:modified xsi:type="dcterms:W3CDTF">2026-07-10T21:34:46.205Z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