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7440" w:leader="none"/>
        </w:tabs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Дисциплина «Операционные системы».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Лабораторная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  <w:lang w:val="ru-RU"/>
        </w:rPr>
        <w:t xml:space="preserve"> работа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 xml:space="preserve">. </w:t>
      </w: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1A1A1A"/>
          <w:sz w:val="28"/>
          <w:szCs w:val="28"/>
          <w:u w:val="none"/>
          <w:effect w:val="none"/>
          <w:shd w:fill="auto" w:val="clear"/>
        </w:rPr>
        <w:t>Проектирование пула потоков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Выполнил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Студент группы ИВТИИбд-21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Алатырский Даниил Игоревич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Проверил(а):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Старший Преподаватель Беляев Константин Сергеевич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Ульяновск 202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5</w:t>
      </w:r>
    </w:p>
    <w:p>
      <w:pPr>
        <w:pStyle w:val="Heading3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Цель работы</w:t>
      </w:r>
    </w:p>
    <w:p>
      <w:pPr>
        <w:pStyle w:val="BodyText"/>
        <w:rPr/>
      </w:pPr>
      <w:r>
        <w:rPr/>
        <w:t>Реализовать пул потоков на базе POSIX Threads, обеспечивающий: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инициализацию фиксированного числа рабочих потоков (</w:t>
      </w:r>
      <w:r>
        <w:rPr>
          <w:rStyle w:val="SourceText"/>
        </w:rPr>
        <w:t>pool_init()</w:t>
      </w:r>
      <w:r>
        <w:rPr/>
        <w:t>);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приём и очередь задач (</w:t>
      </w:r>
      <w:r>
        <w:rPr>
          <w:rStyle w:val="SourceText"/>
        </w:rPr>
        <w:t>pool_submit()</w:t>
      </w:r>
      <w:r>
        <w:rPr/>
        <w:t>);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ожидание задач потоками и их выполнение;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корректное завершение всех потоков после </w:t>
      </w:r>
      <w:r>
        <w:rPr>
          <w:rStyle w:val="SourceText"/>
        </w:rPr>
        <w:t>pool_shutdown()</w:t>
      </w:r>
      <w:r>
        <w:rPr/>
        <w:t>.</w:t>
      </w:r>
    </w:p>
    <w:p>
      <w:pPr>
        <w:pStyle w:val="Heading3"/>
        <w:jc w:val="center"/>
        <w:rPr/>
      </w:pPr>
      <w:r>
        <w:rPr/>
        <w:t>2. Описание реализации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Структуры данных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ourceText"/>
        </w:rPr>
        <w:t>thread_pool_t pool</w:t>
      </w:r>
      <w:r>
        <w:rPr/>
        <w:t xml:space="preserve"> содержит кольцевую очередь задач размером </w:t>
      </w:r>
      <w:r>
        <w:rPr>
          <w:rStyle w:val="SourceText"/>
        </w:rPr>
        <w:t>QUEUE_SIZE</w:t>
      </w:r>
      <w:r>
        <w:rPr/>
        <w:t xml:space="preserve">, указатели </w:t>
      </w:r>
      <w:r>
        <w:rPr>
          <w:rStyle w:val="SourceText"/>
        </w:rPr>
        <w:t>head</w:t>
      </w:r>
      <w:r>
        <w:rPr/>
        <w:t>/</w:t>
      </w:r>
      <w:r>
        <w:rPr>
          <w:rStyle w:val="SourceText"/>
        </w:rPr>
        <w:t>tail</w:t>
      </w:r>
      <w:r>
        <w:rPr/>
        <w:t xml:space="preserve">, счётчик </w:t>
      </w:r>
      <w:r>
        <w:rPr>
          <w:rStyle w:val="SourceText"/>
        </w:rPr>
        <w:t>count</w:t>
      </w:r>
      <w:r>
        <w:rPr/>
        <w:t xml:space="preserve">, мьютекс и семафор, а также флаг </w:t>
      </w:r>
      <w:r>
        <w:rPr>
          <w:rStyle w:val="SourceText"/>
        </w:rPr>
        <w:t>shutdown_flag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Массив </w:t>
      </w:r>
      <w:r>
        <w:rPr>
          <w:rStyle w:val="SourceText"/>
        </w:rPr>
        <w:t>pthread_t threads[MAX_THREADS]</w:t>
      </w:r>
      <w:r>
        <w:rPr/>
        <w:t xml:space="preserve"> хранит дескрипторы рабочих потоков.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Инициализация пула</w:t>
      </w:r>
      <w:r>
        <w:rPr/>
        <w:t xml:space="preserve"> (</w:t>
      </w:r>
      <w:r>
        <w:rPr>
          <w:rStyle w:val="SourceText"/>
        </w:rPr>
        <w:t>pool_init</w:t>
      </w:r>
      <w:r>
        <w:rPr/>
        <w:t>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Обнуляются </w:t>
      </w:r>
      <w:r>
        <w:rPr>
          <w:rStyle w:val="SourceText"/>
        </w:rPr>
        <w:t>head</w:t>
      </w:r>
      <w:r>
        <w:rPr/>
        <w:t xml:space="preserve">, </w:t>
      </w:r>
      <w:r>
        <w:rPr>
          <w:rStyle w:val="SourceText"/>
        </w:rPr>
        <w:t>tail</w:t>
      </w:r>
      <w:r>
        <w:rPr/>
        <w:t xml:space="preserve">, </w:t>
      </w:r>
      <w:r>
        <w:rPr>
          <w:rStyle w:val="SourceText"/>
        </w:rPr>
        <w:t>count</w:t>
      </w:r>
      <w:r>
        <w:rPr/>
        <w:t xml:space="preserve">, сбрасывается </w:t>
      </w:r>
      <w:r>
        <w:rPr>
          <w:rStyle w:val="SourceText"/>
        </w:rPr>
        <w:t>shutdown_flag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Создаётся мьютекс и безымянный семафор (</w:t>
      </w:r>
      <w:r>
        <w:rPr>
          <w:rStyle w:val="SourceText"/>
        </w:rPr>
        <w:t>sem_init</w:t>
      </w:r>
      <w:r>
        <w:rPr/>
        <w:t xml:space="preserve"> с начальным значением 0).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Запускаются </w:t>
      </w:r>
      <w:r>
        <w:rPr>
          <w:rStyle w:val="SourceText"/>
        </w:rPr>
        <w:t>MAX_THREADS</w:t>
      </w:r>
      <w:r>
        <w:rPr/>
        <w:t xml:space="preserve"> потоков, каждый из которых выполняет функцию </w:t>
      </w:r>
      <w:r>
        <w:rPr>
          <w:rStyle w:val="SourceText"/>
        </w:rPr>
        <w:t>worker()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Очередь задач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enqueue</w:t>
      </w:r>
      <w:r>
        <w:rPr/>
        <w:t xml:space="preserve">: под мьютексом проверяет, не заполнена ли очередь; вставляет задачу в позицию </w:t>
      </w:r>
      <w:r>
        <w:rPr>
          <w:rStyle w:val="SourceText"/>
        </w:rPr>
        <w:t>tail</w:t>
      </w:r>
      <w:r>
        <w:rPr/>
        <w:t xml:space="preserve">, инкрементирует </w:t>
      </w:r>
      <w:r>
        <w:rPr>
          <w:rStyle w:val="SourceText"/>
        </w:rPr>
        <w:t>tail</w:t>
      </w:r>
      <w:r>
        <w:rPr/>
        <w:t xml:space="preserve"> и </w:t>
      </w:r>
      <w:r>
        <w:rPr>
          <w:rStyle w:val="SourceText"/>
        </w:rPr>
        <w:t>count</w:t>
      </w:r>
      <w:r>
        <w:rPr/>
        <w:t>; после разблокировки выпускает один семафор (</w:t>
      </w:r>
      <w:r>
        <w:rPr>
          <w:rStyle w:val="SourceText"/>
        </w:rPr>
        <w:t>sem_post</w:t>
      </w:r>
      <w:r>
        <w:rPr/>
        <w:t>), сигнализируя о появлении работы.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dequeue</w:t>
      </w:r>
      <w:r>
        <w:rPr/>
        <w:t xml:space="preserve">: под мьютексом проверяет, не пуста ли очередь; извлекает задачу из </w:t>
      </w:r>
      <w:r>
        <w:rPr>
          <w:rStyle w:val="SourceText"/>
        </w:rPr>
        <w:t>head</w:t>
      </w:r>
      <w:r>
        <w:rPr/>
        <w:t xml:space="preserve">, инкрементирует </w:t>
      </w:r>
      <w:r>
        <w:rPr>
          <w:rStyle w:val="SourceText"/>
        </w:rPr>
        <w:t>head</w:t>
      </w:r>
      <w:r>
        <w:rPr/>
        <w:t xml:space="preserve"> и декрементирует </w:t>
      </w:r>
      <w:r>
        <w:rPr>
          <w:rStyle w:val="SourceText"/>
        </w:rPr>
        <w:t>count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Рабочий поток</w:t>
      </w:r>
      <w:r>
        <w:rPr/>
        <w:t xml:space="preserve"> (</w:t>
      </w:r>
      <w:r>
        <w:rPr>
          <w:rStyle w:val="SourceText"/>
        </w:rPr>
        <w:t>worker</w:t>
      </w:r>
      <w:r>
        <w:rPr/>
        <w:t>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В бесконечном цикле вызывает </w:t>
      </w:r>
      <w:r>
        <w:rPr>
          <w:rStyle w:val="SourceText"/>
        </w:rPr>
        <w:t>sem_wait()</w:t>
      </w:r>
      <w:r>
        <w:rPr/>
        <w:t>, блокируясь до появления задачи или до сигнала завершения.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После пробуждения проверяет под мьютексом флаг </w:t>
      </w:r>
      <w:r>
        <w:rPr>
          <w:rStyle w:val="SourceText"/>
        </w:rPr>
        <w:t>shutdown_flag</w:t>
      </w:r>
      <w:r>
        <w:rPr/>
        <w:t xml:space="preserve"> и пустоту очереди — в этом случае выходим из цикла и завершаем поток.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Иначе извлекает задачу (</w:t>
      </w:r>
      <w:r>
        <w:rPr>
          <w:rStyle w:val="SourceText"/>
        </w:rPr>
        <w:t>dequeue</w:t>
      </w:r>
      <w:r>
        <w:rPr/>
        <w:t xml:space="preserve">) и выполняет её, вызывая </w:t>
      </w:r>
      <w:r>
        <w:rPr>
          <w:rStyle w:val="SourceText"/>
        </w:rPr>
        <w:t>task.function(task.data)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Отправка задачи</w:t>
      </w:r>
      <w:r>
        <w:rPr/>
        <w:t xml:space="preserve"> (</w:t>
      </w:r>
      <w:r>
        <w:rPr>
          <w:rStyle w:val="SourceText"/>
        </w:rPr>
        <w:t>pool_submit</w:t>
      </w:r>
      <w:r>
        <w:rPr/>
        <w:t>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Формирует </w:t>
      </w:r>
      <w:r>
        <w:rPr>
          <w:rStyle w:val="SourceText"/>
        </w:rPr>
        <w:t>task_t</w:t>
      </w:r>
      <w:r>
        <w:rPr/>
        <w:t xml:space="preserve"> и вызывает </w:t>
      </w:r>
      <w:r>
        <w:rPr>
          <w:rStyle w:val="SourceText"/>
        </w:rPr>
        <w:t>enqueue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При успешном добавлении вновь увеличивает семафор (</w:t>
      </w:r>
      <w:r>
        <w:rPr>
          <w:rStyle w:val="SourceText"/>
        </w:rPr>
        <w:t>sem_post</w:t>
      </w:r>
      <w:r>
        <w:rPr/>
        <w:t>), чтобы «разбудить» ожидающий поток.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Завершение работы</w:t>
      </w:r>
      <w:r>
        <w:rPr/>
        <w:t xml:space="preserve"> (</w:t>
      </w:r>
      <w:r>
        <w:rPr>
          <w:rStyle w:val="SourceText"/>
        </w:rPr>
        <w:t>pool_shutdown</w:t>
      </w:r>
      <w:r>
        <w:rPr/>
        <w:t>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Под мьютексом выставляет </w:t>
      </w:r>
      <w:r>
        <w:rPr>
          <w:rStyle w:val="SourceText"/>
        </w:rPr>
        <w:t>shutdown_flag = 1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Делает </w:t>
      </w:r>
      <w:r>
        <w:rPr>
          <w:rStyle w:val="SourceText"/>
        </w:rPr>
        <w:t>sem_post</w:t>
      </w:r>
      <w:r>
        <w:rPr/>
        <w:t xml:space="preserve"> столько раз, сколько потоков, чтобы все </w:t>
      </w:r>
      <w:r>
        <w:rPr>
          <w:rStyle w:val="SourceText"/>
        </w:rPr>
        <w:t>sem_wait</w:t>
      </w:r>
      <w:r>
        <w:rPr/>
        <w:t xml:space="preserve"> разблокировались.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Выходит из критической секции и вызывает </w:t>
      </w:r>
      <w:r>
        <w:rPr>
          <w:rStyle w:val="SourceText"/>
        </w:rPr>
        <w:t>pthread_join</w:t>
      </w:r>
      <w:r>
        <w:rPr/>
        <w:t xml:space="preserve"> для каждого рабочего потока.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Уничтожает мьютекс и семафор.</w:t>
      </w:r>
    </w:p>
    <w:p>
      <w:pPr>
        <w:pStyle w:val="Heading3"/>
        <w:jc w:val="center"/>
        <w:rPr/>
      </w:pPr>
      <w:r>
        <w:rPr/>
        <w:t>3. Результаты</w:t>
      </w:r>
    </w:p>
    <w:p>
      <w:pPr>
        <w:pStyle w:val="BodyText"/>
        <w:rPr/>
      </w:pPr>
      <w:r>
        <w:rPr/>
        <w:t xml:space="preserve">В тестовой программе </w:t>
      </w:r>
      <w:r>
        <w:rPr>
          <w:rStyle w:val="SourceText"/>
        </w:rPr>
        <w:t>main()</w:t>
      </w:r>
      <w:r>
        <w:rPr/>
        <w:t xml:space="preserve"> создаётся 20 задач, каждая из которых печатает свой номер и «спит» 1 с. Пул из 10 потоков позволяет выполнять 10 задач одновременно, после чего освобождающиеся потоки забирают следующие.</w:t>
      </w:r>
    </w:p>
    <w:p>
      <w:pPr>
        <w:pStyle w:val="Heading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4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. Вывод</w:t>
      </w:r>
    </w:p>
    <w:p>
      <w:pPr>
        <w:pStyle w:val="BodyText"/>
        <w:rPr/>
      </w:pPr>
      <w:r>
        <w:rPr/>
        <w:t>Пул потоков корректно: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балансирует нагрузку между заранее созданными потоками,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гарантирует отсутствие состязаний при доступе к очереди (благодаря мьютексу),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эффективно уведомляет о появлении работы через семафор,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позволяет «правильно» остановить все потоки после </w:t>
      </w:r>
      <w:r>
        <w:rPr>
          <w:rStyle w:val="SourceText"/>
        </w:rPr>
        <w:t>pool_shutdown()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3c5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627717"/>
    <w:pPr>
      <w:keepNext w:val="true"/>
      <w:keepLines/>
      <w:spacing w:lineRule="auto" w:line="240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27717"/>
    <w:pPr>
      <w:keepNext w:val="true"/>
      <w:keepLines/>
      <w:spacing w:lineRule="auto" w:line="240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27717"/>
    <w:pPr>
      <w:keepNext w:val="true"/>
      <w:keepLines/>
      <w:spacing w:lineRule="auto" w:line="240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27717"/>
    <w:pPr>
      <w:keepNext w:val="true"/>
      <w:keepLines/>
      <w:spacing w:lineRule="auto" w:line="24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sz w:val="28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27717"/>
    <w:pPr>
      <w:keepNext w:val="true"/>
      <w:keepLines/>
      <w:spacing w:lineRule="auto" w:line="24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sz w:val="28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27717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27717"/>
    <w:rPr>
      <w:rFonts w:eastAsia="" w:cs="" w:cstheme="majorBidi" w:eastAsiaTheme="majorEastAsia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27717"/>
    <w:rPr>
      <w:rFonts w:eastAsia="" w:cs="" w:cstheme="majorBidi" w:eastAsiaTheme="majorEastAsia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27717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27717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62771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2771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27717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627717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27717"/>
    <w:rPr>
      <w:rFonts w:ascii="Times New Roman" w:hAnsi="Times New Roman"/>
      <w:i/>
      <w:iCs/>
      <w:color w:themeColor="accent1" w:themeShade="bf" w:val="2F5496"/>
      <w:sz w:val="28"/>
    </w:rPr>
  </w:style>
  <w:style w:type="character" w:styleId="IntenseReference">
    <w:name w:val="Intense Reference"/>
    <w:basedOn w:val="DefaultParagraphFont"/>
    <w:uiPriority w:val="32"/>
    <w:qFormat/>
    <w:rsid w:val="00627717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27717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627717"/>
    <w:pPr>
      <w:spacing w:lineRule="auto" w:line="240" w:before="0" w:after="160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627717"/>
    <w:pPr>
      <w:spacing w:lineRule="auto" w:line="240" w:before="160" w:after="160"/>
      <w:jc w:val="center"/>
    </w:pPr>
    <w:rPr>
      <w:rFonts w:ascii="Times New Roman" w:hAnsi="Times New Roman" w:eastAsia="Calibri" w:cs="" w:cstheme="minorBidi" w:eastAsiaTheme="minorHAnsi"/>
      <w:i/>
      <w:iCs/>
      <w:color w:themeColor="text1" w:themeTint="bf" w:val="404040"/>
      <w:kern w:val="2"/>
      <w:sz w:val="28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717"/>
    <w:pPr>
      <w:spacing w:lineRule="auto" w:line="240" w:before="0" w:after="160"/>
      <w:ind w:left="720"/>
      <w:contextualSpacing/>
    </w:pPr>
    <w:rPr>
      <w:rFonts w:ascii="Times New Roman" w:hAnsi="Times New Roman" w:eastAsia="Calibri" w:cs="" w:cstheme="minorBidi" w:eastAsiaTheme="minorHAnsi"/>
      <w:kern w:val="2"/>
      <w:sz w:val="28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40" w:before="360" w:after="360"/>
      <w:ind w:left="864" w:right="864"/>
      <w:jc w:val="center"/>
    </w:pPr>
    <w:rPr>
      <w:rFonts w:ascii="Times New Roman" w:hAnsi="Times New Roman" w:eastAsia="Calibri" w:cs="" w:cstheme="minorBidi" w:eastAsia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qFormat/>
    <w:rsid w:val="00713c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LibreOffice/24.8.2.1$Linux_X86_64 LibreOffice_project/480$Build-1</Application>
  <AppVersion>15.0000</AppVersion>
  <Pages>3</Pages>
  <Words>372</Words>
  <Characters>2512</Characters>
  <CharactersWithSpaces>2809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2025-04-03T09:04:00Z</dcterms:created>
  <dc:creator>Артём Новиков</dc:creator>
  <dc:description/>
  <dc:language>en-US</dc:language>
  <cp:lastModifiedBy/>
  <dcterms:modified xsi:type="dcterms:W3CDTF">2025-05-27T23:11:21Z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