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0E68" w14:textId="71DFA7B3" w:rsidR="00A456D9" w:rsidRPr="00A6243B" w:rsidRDefault="00A456D9" w:rsidP="00A456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243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Процессы жизненного цикла программных средств</w:t>
      </w:r>
    </w:p>
    <w:p w14:paraId="00997CA2" w14:textId="5888EEAE" w:rsidR="00816560" w:rsidRDefault="00816560" w:rsidP="0046226B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24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proofErr w:type="gramStart"/>
      <w:r w:rsidRPr="00A624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A6243B"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proofErr w:type="gramEnd"/>
      <w:r w:rsidRPr="00A6243B">
        <w:rPr>
          <w:rFonts w:ascii="Times New Roman" w:hAnsi="Times New Roman" w:cs="Times New Roman"/>
          <w:sz w:val="28"/>
          <w:szCs w:val="28"/>
          <w:lang w:val="ru-RU"/>
        </w:rPr>
        <w:t xml:space="preserve"> различия процессов жизненного цикла (ЖЦ) ПО с точки зрения различных международных и национальных стандартов. Определить целесообразную для выполнения проекта модель ЖЦ. Выполнить технологический процесс кодирования ПО </w:t>
      </w:r>
      <w:proofErr w:type="spellStart"/>
      <w:r w:rsidRPr="00A6243B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spellEnd"/>
      <w:r w:rsidRPr="00A6243B">
        <w:rPr>
          <w:rFonts w:ascii="Times New Roman" w:hAnsi="Times New Roman" w:cs="Times New Roman"/>
          <w:sz w:val="28"/>
          <w:szCs w:val="28"/>
          <w:lang w:val="ru-RU"/>
        </w:rPr>
        <w:t xml:space="preserve"> выполняемому проекту.</w:t>
      </w:r>
    </w:p>
    <w:p w14:paraId="18396BF8" w14:textId="5D5E0BA0" w:rsidR="007F4D0E" w:rsidRDefault="007F4D0E" w:rsidP="009C25A2">
      <w:pPr>
        <w:pStyle w:val="a7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Какие виды жизненного цикла программного обеспечения вы знаете?</w:t>
      </w:r>
    </w:p>
    <w:p w14:paraId="7BF0EF5C" w14:textId="214A9E13" w:rsidR="009C25A2" w:rsidRPr="009C25A2" w:rsidRDefault="009C25A2" w:rsidP="009C25A2">
      <w:pPr>
        <w:pStyle w:val="a7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25A2">
        <w:rPr>
          <w:rFonts w:ascii="Times New Roman" w:hAnsi="Times New Roman" w:cs="Times New Roman"/>
          <w:b/>
          <w:bCs/>
          <w:sz w:val="28"/>
          <w:szCs w:val="28"/>
          <w:lang w:val="ru-RU"/>
        </w:rPr>
        <w:t>Жизненным циклом программного обеспечения</w:t>
      </w:r>
      <w:r w:rsidRPr="009C25A2">
        <w:rPr>
          <w:rFonts w:ascii="Times New Roman" w:hAnsi="Times New Roman" w:cs="Times New Roman"/>
          <w:sz w:val="28"/>
          <w:szCs w:val="28"/>
          <w:lang w:val="ru-RU"/>
        </w:rPr>
        <w:t xml:space="preserve"> называют период от момента появления идеи создания некоторого программного обеспечения до момента завершения его поддержки фирмой-разработчиком или фирмой, выполнявшей сопровождение. </w:t>
      </w:r>
      <w:bookmarkStart w:id="0" w:name="_GoBack"/>
      <w:r w:rsidRPr="009C25A2">
        <w:rPr>
          <w:rFonts w:ascii="Times New Roman" w:hAnsi="Times New Roman" w:cs="Times New Roman"/>
          <w:sz w:val="28"/>
          <w:szCs w:val="28"/>
          <w:lang w:val="ru-RU"/>
        </w:rPr>
        <w:t>В ходе жизненного цикла ПО проходит через анализ предметной области, сбор требований, проектирование, кодирование, тестирование, сопровождение и др.</w:t>
      </w:r>
      <w:bookmarkEnd w:id="0"/>
    </w:p>
    <w:p w14:paraId="4E7D0998" w14:textId="7CF3239E" w:rsidR="007F4D0E" w:rsidRDefault="007F4D0E" w:rsidP="009C25A2">
      <w:pPr>
        <w:pStyle w:val="a7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Понятие процесса. Виды процессов в соответствии с принятыми стандартами?</w:t>
      </w:r>
    </w:p>
    <w:p w14:paraId="21055208" w14:textId="77777777" w:rsidR="00BD14DB" w:rsidRPr="00BD14DB" w:rsidRDefault="00BD14DB" w:rsidP="00BD14DB">
      <w:pPr>
        <w:pStyle w:val="a7"/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4DB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набор стандартов, определяющих различные элементы в структуре жизненных циклов ПО и программно-аппаратных систем. В качестве основных таких элементов выделяют </w:t>
      </w:r>
      <w:r w:rsidRPr="005E4B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технологические процессы</w:t>
      </w:r>
      <w:r w:rsidRPr="00BD14D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структурированные наборы деятельностей, решающих некоторую общую задачу или связанную совокупность задач, такие, как процесс сопровождения ПО, процесс обеспечения качества, процесс разработки документации и пр. </w:t>
      </w:r>
    </w:p>
    <w:p w14:paraId="6428C895" w14:textId="77777777" w:rsidR="00BD14DB" w:rsidRPr="00BD14DB" w:rsidRDefault="00BD14DB" w:rsidP="00BD14DB">
      <w:pPr>
        <w:pStyle w:val="a7"/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4DB">
        <w:rPr>
          <w:rFonts w:ascii="Times New Roman" w:hAnsi="Times New Roman" w:cs="Times New Roman"/>
          <w:sz w:val="28"/>
          <w:szCs w:val="28"/>
          <w:lang w:val="ru-RU"/>
        </w:rPr>
        <w:t xml:space="preserve">Процессы могут определять разные этапы жизненного цикла и увязывать их с различными видами деятельностей, артефактами и ролями заинтересованных лиц. Процессы могут разбиваться на подпроцессы, решающие частные подзадачи той задачи, с которой работает общий процесс. </w:t>
      </w:r>
    </w:p>
    <w:p w14:paraId="16AA6DAB" w14:textId="5D16C23F" w:rsidR="00BD14DB" w:rsidRDefault="00BD14DB" w:rsidP="00BD14DB">
      <w:pPr>
        <w:pStyle w:val="a7"/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4DB">
        <w:rPr>
          <w:rFonts w:ascii="Times New Roman" w:hAnsi="Times New Roman" w:cs="Times New Roman"/>
          <w:sz w:val="28"/>
          <w:szCs w:val="28"/>
          <w:lang w:val="ru-RU"/>
        </w:rPr>
        <w:t>Состав процессов жизненного цикла регламентируется рядом международных и отечественных стандартов, описывающим технологические процессы создания ПО.</w:t>
      </w:r>
    </w:p>
    <w:tbl>
      <w:tblPr>
        <w:tblW w:w="9072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693"/>
        <w:gridCol w:w="2268"/>
        <w:gridCol w:w="1701"/>
      </w:tblGrid>
      <w:tr w:rsidR="001A2478" w:rsidRPr="008F4F97" w14:paraId="7D059525" w14:textId="77777777" w:rsidTr="001A2478">
        <w:trPr>
          <w:trHeight w:val="248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258E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4"/>
              <w:rPr>
                <w:color w:val="000000"/>
              </w:rPr>
            </w:pPr>
            <w:proofErr w:type="spellStart"/>
            <w:r w:rsidRPr="008F4F97">
              <w:rPr>
                <w:b/>
                <w:bCs/>
                <w:color w:val="000000"/>
              </w:rPr>
              <w:t>Основные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8F4F97">
              <w:rPr>
                <w:b/>
                <w:bCs/>
                <w:color w:val="000000"/>
              </w:rPr>
              <w:t>процессы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AC1F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</w:rPr>
            </w:pPr>
            <w:proofErr w:type="spellStart"/>
            <w:r w:rsidRPr="008F4F97">
              <w:rPr>
                <w:b/>
                <w:bCs/>
                <w:color w:val="000000"/>
              </w:rPr>
              <w:t>Поддерживающие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8F4F97">
              <w:rPr>
                <w:b/>
                <w:bCs/>
                <w:color w:val="000000"/>
              </w:rPr>
              <w:t>процессы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24EA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</w:rPr>
            </w:pPr>
            <w:proofErr w:type="spellStart"/>
            <w:r w:rsidRPr="008F4F97">
              <w:rPr>
                <w:b/>
                <w:bCs/>
                <w:color w:val="000000"/>
              </w:rPr>
              <w:t>Организационные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8F4F97">
              <w:rPr>
                <w:b/>
                <w:bCs/>
                <w:color w:val="000000"/>
              </w:rPr>
              <w:t>процессы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DE07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</w:rPr>
            </w:pPr>
            <w:proofErr w:type="spellStart"/>
            <w:r w:rsidRPr="008F4F97">
              <w:rPr>
                <w:b/>
                <w:bCs/>
                <w:color w:val="000000"/>
              </w:rPr>
              <w:t>Адаптация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</w:p>
        </w:tc>
      </w:tr>
      <w:tr w:rsidR="001A2478" w:rsidRPr="000B6581" w14:paraId="5365033D" w14:textId="77777777" w:rsidTr="001A2478">
        <w:trPr>
          <w:trHeight w:val="1146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AE2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Приобретение ПО; </w:t>
            </w:r>
          </w:p>
          <w:p w14:paraId="2520851B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Передача ПО </w:t>
            </w:r>
            <w:r w:rsidRPr="001A2478">
              <w:rPr>
                <w:color w:val="000000"/>
                <w:lang w:val="ru-RU"/>
              </w:rPr>
              <w:br/>
              <w:t xml:space="preserve">в использование; </w:t>
            </w:r>
          </w:p>
          <w:p w14:paraId="6B9F111B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Разработка ПО; </w:t>
            </w:r>
          </w:p>
          <w:p w14:paraId="506030C5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Эксплуатация ПО; </w:t>
            </w:r>
          </w:p>
          <w:p w14:paraId="153BC811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Поддержка ПО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E721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Документирование; </w:t>
            </w:r>
          </w:p>
          <w:p w14:paraId="398DA43F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Управление конфигурациями; </w:t>
            </w:r>
          </w:p>
          <w:p w14:paraId="09E2D4C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Обеспечение качества; </w:t>
            </w:r>
          </w:p>
          <w:p w14:paraId="5E090871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Верификация; </w:t>
            </w:r>
          </w:p>
          <w:p w14:paraId="1B95BB75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Валидация; </w:t>
            </w:r>
          </w:p>
          <w:p w14:paraId="5A453A4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Совместные экспертизы; </w:t>
            </w:r>
          </w:p>
          <w:p w14:paraId="2CD91679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Аудит; </w:t>
            </w:r>
          </w:p>
          <w:p w14:paraId="1F3FFCA5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</w:rPr>
            </w:pPr>
            <w:proofErr w:type="spellStart"/>
            <w:r w:rsidRPr="008F4F97">
              <w:rPr>
                <w:color w:val="000000"/>
              </w:rPr>
              <w:t>Разрешение</w:t>
            </w:r>
            <w:proofErr w:type="spellEnd"/>
            <w:r w:rsidRPr="008F4F97">
              <w:rPr>
                <w:color w:val="000000"/>
              </w:rPr>
              <w:t xml:space="preserve"> </w:t>
            </w:r>
            <w:proofErr w:type="spellStart"/>
            <w:r w:rsidRPr="008F4F97">
              <w:rPr>
                <w:color w:val="000000"/>
              </w:rPr>
              <w:t>проблем</w:t>
            </w:r>
            <w:proofErr w:type="spellEnd"/>
            <w:r w:rsidRPr="008F4F97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13DD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Управление проектом; </w:t>
            </w:r>
          </w:p>
          <w:p w14:paraId="542301E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Управление инфраструктурой; </w:t>
            </w:r>
          </w:p>
          <w:p w14:paraId="5E0C645D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Усовершенствование процессов; </w:t>
            </w:r>
          </w:p>
          <w:p w14:paraId="1C732A24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</w:rPr>
            </w:pPr>
            <w:proofErr w:type="spellStart"/>
            <w:r w:rsidRPr="008F4F97">
              <w:rPr>
                <w:color w:val="000000"/>
              </w:rPr>
              <w:t>Управление</w:t>
            </w:r>
            <w:proofErr w:type="spellEnd"/>
            <w:r w:rsidRPr="008F4F97">
              <w:rPr>
                <w:color w:val="000000"/>
              </w:rPr>
              <w:t xml:space="preserve"> </w:t>
            </w:r>
            <w:proofErr w:type="spellStart"/>
            <w:r w:rsidRPr="008F4F97">
              <w:rPr>
                <w:color w:val="000000"/>
              </w:rPr>
              <w:t>персоналом</w:t>
            </w:r>
            <w:proofErr w:type="spellEnd"/>
            <w:r w:rsidRPr="008F4F97">
              <w:rPr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5F3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Адаптация описываемых стандартом процессов под нужды конкретного проекта </w:t>
            </w:r>
          </w:p>
        </w:tc>
      </w:tr>
    </w:tbl>
    <w:p w14:paraId="4D26D715" w14:textId="6C4D9240" w:rsidR="001A2478" w:rsidRDefault="00FB7167" w:rsidP="00FB7167">
      <w:pPr>
        <w:pStyle w:val="a7"/>
        <w:spacing w:line="24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ISO 12207</w:t>
      </w:r>
    </w:p>
    <w:tbl>
      <w:tblPr>
        <w:tblW w:w="9214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85"/>
        <w:gridCol w:w="1984"/>
        <w:gridCol w:w="1701"/>
      </w:tblGrid>
      <w:tr w:rsidR="00FB7167" w:rsidRPr="00042B9B" w14:paraId="7EE22D5F" w14:textId="77777777" w:rsidTr="00FB7167">
        <w:trPr>
          <w:trHeight w:val="363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7DDA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выработки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соглашений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D41D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уровня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организации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0DB0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уровня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проекта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F8C6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Технические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839E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Специальные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</w:tr>
      <w:tr w:rsidR="00FB7167" w:rsidRPr="000B6581" w14:paraId="4E555B7B" w14:textId="77777777" w:rsidTr="00FB7167">
        <w:trPr>
          <w:trHeight w:val="204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81B5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color w:val="000000"/>
              </w:rPr>
              <w:lastRenderedPageBreak/>
              <w:t>Приобретение</w:t>
            </w:r>
            <w:proofErr w:type="spellEnd"/>
            <w:r w:rsidRPr="009A4F4E">
              <w:rPr>
                <w:color w:val="000000"/>
              </w:rPr>
              <w:t xml:space="preserve"> </w:t>
            </w:r>
            <w:proofErr w:type="spellStart"/>
            <w:r w:rsidRPr="009A4F4E">
              <w:rPr>
                <w:color w:val="000000"/>
              </w:rPr>
              <w:t>системы</w:t>
            </w:r>
            <w:proofErr w:type="spellEnd"/>
            <w:r w:rsidRPr="009A4F4E">
              <w:rPr>
                <w:color w:val="000000"/>
              </w:rPr>
              <w:t xml:space="preserve">; </w:t>
            </w:r>
          </w:p>
          <w:p w14:paraId="29C3E1AF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color w:val="000000"/>
              </w:rPr>
              <w:t>Поставка</w:t>
            </w:r>
            <w:proofErr w:type="spellEnd"/>
            <w:r w:rsidRPr="009A4F4E">
              <w:rPr>
                <w:color w:val="000000"/>
              </w:rPr>
              <w:t xml:space="preserve"> </w:t>
            </w:r>
            <w:proofErr w:type="spellStart"/>
            <w:r w:rsidRPr="009A4F4E">
              <w:rPr>
                <w:color w:val="000000"/>
              </w:rPr>
              <w:t>системы</w:t>
            </w:r>
            <w:proofErr w:type="spellEnd"/>
            <w:r w:rsidRPr="009A4F4E">
              <w:rPr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3C0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окружением; </w:t>
            </w:r>
          </w:p>
          <w:p w14:paraId="0A237A0A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инвестициями; </w:t>
            </w:r>
          </w:p>
          <w:p w14:paraId="0E0D8A95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процессами; </w:t>
            </w:r>
          </w:p>
          <w:p w14:paraId="388A2B67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color w:val="000000"/>
              </w:rPr>
              <w:t>Управление</w:t>
            </w:r>
            <w:proofErr w:type="spellEnd"/>
            <w:r w:rsidRPr="009A4F4E">
              <w:rPr>
                <w:color w:val="000000"/>
              </w:rPr>
              <w:t xml:space="preserve"> </w:t>
            </w:r>
            <w:proofErr w:type="spellStart"/>
            <w:r w:rsidRPr="009A4F4E">
              <w:rPr>
                <w:color w:val="000000"/>
              </w:rPr>
              <w:t>ресурсами</w:t>
            </w:r>
            <w:proofErr w:type="spellEnd"/>
            <w:r w:rsidRPr="009A4F4E">
              <w:rPr>
                <w:color w:val="000000"/>
              </w:rPr>
              <w:t xml:space="preserve">; </w:t>
            </w:r>
          </w:p>
          <w:p w14:paraId="27AFEDE1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color w:val="000000"/>
              </w:rPr>
              <w:t>Управление</w:t>
            </w:r>
            <w:proofErr w:type="spellEnd"/>
            <w:r w:rsidRPr="009A4F4E">
              <w:rPr>
                <w:color w:val="000000"/>
              </w:rPr>
              <w:t xml:space="preserve"> </w:t>
            </w:r>
            <w:proofErr w:type="spellStart"/>
            <w:r w:rsidRPr="009A4F4E">
              <w:rPr>
                <w:color w:val="000000"/>
              </w:rPr>
              <w:t>качеством</w:t>
            </w:r>
            <w:proofErr w:type="spellEnd"/>
            <w:r w:rsidRPr="009A4F4E">
              <w:rPr>
                <w:color w:val="00000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93F3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Планирование; </w:t>
            </w:r>
          </w:p>
          <w:p w14:paraId="3F49A87F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Оценивание; </w:t>
            </w:r>
          </w:p>
          <w:p w14:paraId="07D1D41A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Мониторинг; </w:t>
            </w:r>
          </w:p>
          <w:p w14:paraId="17C29342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рисками; </w:t>
            </w:r>
          </w:p>
          <w:p w14:paraId="1E980C17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конфигурацией; </w:t>
            </w:r>
          </w:p>
          <w:p w14:paraId="4A14A246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информацией; </w:t>
            </w:r>
          </w:p>
          <w:p w14:paraId="14A2420E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Выработка решений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D8C5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Определение требований; </w:t>
            </w:r>
          </w:p>
          <w:p w14:paraId="60A4D48E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Анализ требований; </w:t>
            </w:r>
          </w:p>
          <w:p w14:paraId="2E7B475E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Проектирование архитектуры; </w:t>
            </w:r>
          </w:p>
          <w:p w14:paraId="4A6DBDAF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Реализация; </w:t>
            </w:r>
          </w:p>
          <w:p w14:paraId="6F12C8EC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Интеграция; </w:t>
            </w:r>
          </w:p>
          <w:p w14:paraId="3EB30A95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Верификация; </w:t>
            </w:r>
          </w:p>
          <w:p w14:paraId="75A9D1EA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Валидация; </w:t>
            </w:r>
          </w:p>
          <w:p w14:paraId="0EE6EB68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Передача в использование; </w:t>
            </w:r>
          </w:p>
          <w:p w14:paraId="4BE1AFC0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Эксплуатация; </w:t>
            </w:r>
          </w:p>
          <w:p w14:paraId="2C2030B8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Поддержка; </w:t>
            </w:r>
          </w:p>
          <w:p w14:paraId="69F9BFC2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Изъятие из эксплуатации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692B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Адаптация описываемых стандартом процессов под нужды конкретного проекта </w:t>
            </w:r>
          </w:p>
        </w:tc>
      </w:tr>
    </w:tbl>
    <w:p w14:paraId="76F08FB1" w14:textId="7205C4C5" w:rsidR="00FB7167" w:rsidRPr="000B6581" w:rsidRDefault="00FB7167" w:rsidP="00FB7167">
      <w:pPr>
        <w:pStyle w:val="a7"/>
        <w:spacing w:line="24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0B6581">
        <w:rPr>
          <w:rFonts w:ascii="Times New Roman" w:hAnsi="Times New Roman" w:cs="Times New Roman"/>
          <w:sz w:val="28"/>
          <w:szCs w:val="28"/>
          <w:lang w:val="ru-RU"/>
        </w:rPr>
        <w:t xml:space="preserve"> 15288</w:t>
      </w:r>
    </w:p>
    <w:p w14:paraId="4AB05D9B" w14:textId="1D6E8BBB" w:rsidR="000B6581" w:rsidRPr="00B56B5C" w:rsidRDefault="000B6581" w:rsidP="000B6581">
      <w:pPr>
        <w:pStyle w:val="a8"/>
        <w:rPr>
          <w:u w:val="single"/>
        </w:rPr>
      </w:pPr>
      <w:r w:rsidRPr="00B56B5C">
        <w:rPr>
          <w:u w:val="single"/>
        </w:rPr>
        <w:t xml:space="preserve">По </w:t>
      </w:r>
      <w:r w:rsidRPr="00B56B5C">
        <w:rPr>
          <w:i/>
          <w:u w:val="single"/>
        </w:rPr>
        <w:t>ГОСТ</w:t>
      </w:r>
      <w:r w:rsidRPr="00B56B5C">
        <w:rPr>
          <w:u w:val="single"/>
        </w:rPr>
        <w:t xml:space="preserve"> </w:t>
      </w:r>
      <w:r w:rsidRPr="00B56B5C">
        <w:rPr>
          <w:i/>
          <w:u w:val="single"/>
        </w:rPr>
        <w:t>Р ИСО/МЭК 12207-2010</w:t>
      </w:r>
      <w:r w:rsidRPr="00B56B5C">
        <w:rPr>
          <w:i/>
          <w:u w:val="single"/>
        </w:rPr>
        <w:t>:</w:t>
      </w:r>
    </w:p>
    <w:p w14:paraId="4CA13761" w14:textId="30BFD738" w:rsidR="000B6581" w:rsidRPr="000B6581" w:rsidRDefault="000B6581" w:rsidP="000B6581">
      <w:pPr>
        <w:pStyle w:val="a8"/>
      </w:pPr>
      <w:r w:rsidRPr="00D05E1B">
        <w:t xml:space="preserve">a) </w:t>
      </w:r>
      <w:r w:rsidRPr="000B6581">
        <w:rPr>
          <w:sz w:val="28"/>
          <w:szCs w:val="28"/>
        </w:rPr>
        <w:t>процессы соглашения – два процесса;</w:t>
      </w:r>
      <w:bookmarkStart w:id="1" w:name="redstr190"/>
      <w:bookmarkEnd w:id="1"/>
    </w:p>
    <w:p w14:paraId="5FD67095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2" w:name="P013A"/>
      <w:bookmarkEnd w:id="2"/>
      <w:r w:rsidRPr="000B6581">
        <w:rPr>
          <w:sz w:val="28"/>
          <w:szCs w:val="28"/>
        </w:rPr>
        <w:t>b) процессы организационного обеспечения проекта – пять процессов;</w:t>
      </w:r>
      <w:bookmarkStart w:id="3" w:name="redstr191"/>
      <w:bookmarkEnd w:id="3"/>
    </w:p>
    <w:p w14:paraId="40A9F6FF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4" w:name="P013C"/>
      <w:bookmarkEnd w:id="4"/>
      <w:r w:rsidRPr="000B6581">
        <w:rPr>
          <w:sz w:val="28"/>
          <w:szCs w:val="28"/>
        </w:rPr>
        <w:t>c) процессы проекта – семь процессов;</w:t>
      </w:r>
      <w:bookmarkStart w:id="5" w:name="redstr192"/>
      <w:bookmarkEnd w:id="5"/>
    </w:p>
    <w:p w14:paraId="53755992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6" w:name="P013E"/>
      <w:bookmarkEnd w:id="6"/>
      <w:r w:rsidRPr="000B6581">
        <w:rPr>
          <w:sz w:val="28"/>
          <w:szCs w:val="28"/>
        </w:rPr>
        <w:t>d) технические процессы – одиннадцать процессов;</w:t>
      </w:r>
      <w:bookmarkStart w:id="7" w:name="redstr193"/>
      <w:bookmarkEnd w:id="7"/>
    </w:p>
    <w:p w14:paraId="57FA1413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8" w:name="P0140"/>
      <w:bookmarkEnd w:id="8"/>
      <w:r w:rsidRPr="000B6581">
        <w:rPr>
          <w:sz w:val="28"/>
          <w:szCs w:val="28"/>
        </w:rPr>
        <w:t>e) процессы реализации программных средств – семь процессов;</w:t>
      </w:r>
      <w:bookmarkStart w:id="9" w:name="redstr194"/>
      <w:bookmarkEnd w:id="9"/>
    </w:p>
    <w:p w14:paraId="2FE0F52B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10" w:name="P0142"/>
      <w:bookmarkEnd w:id="10"/>
      <w:r w:rsidRPr="000B6581">
        <w:rPr>
          <w:sz w:val="28"/>
          <w:szCs w:val="28"/>
        </w:rPr>
        <w:t>f) процессы поддержки программных средств – восемь процессов;</w:t>
      </w:r>
      <w:bookmarkStart w:id="11" w:name="redstr195"/>
      <w:bookmarkStart w:id="12" w:name="P0144"/>
      <w:bookmarkEnd w:id="11"/>
      <w:bookmarkEnd w:id="12"/>
    </w:p>
    <w:p w14:paraId="625AB366" w14:textId="642A4B69" w:rsidR="000B6581" w:rsidRPr="004D19B9" w:rsidRDefault="000B6581" w:rsidP="004D19B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19B9">
        <w:rPr>
          <w:rFonts w:ascii="Times New Roman" w:hAnsi="Times New Roman" w:cs="Times New Roman"/>
          <w:sz w:val="28"/>
          <w:szCs w:val="28"/>
        </w:rPr>
        <w:t>g</w:t>
      </w:r>
      <w:r w:rsidRPr="004D19B9">
        <w:rPr>
          <w:rFonts w:ascii="Times New Roman" w:hAnsi="Times New Roman" w:cs="Times New Roman"/>
          <w:sz w:val="28"/>
          <w:szCs w:val="28"/>
          <w:lang w:val="ru-RU"/>
        </w:rPr>
        <w:t>) процессы повторного применения программных средств – три процесса.</w:t>
      </w:r>
    </w:p>
    <w:p w14:paraId="51F6A7A4" w14:textId="2A548644" w:rsidR="007F4D0E" w:rsidRDefault="007F4D0E" w:rsidP="009C25A2">
      <w:pPr>
        <w:pStyle w:val="a7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Основные отличия </w:t>
      </w:r>
      <w:r w:rsidR="00D5548C"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ГОСТ Р ИСО/МЭК 12207-2010 </w:t>
      </w:r>
      <w:proofErr w:type="gramStart"/>
      <w:r w:rsidR="00D5548C"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от  ГОСТ</w:t>
      </w:r>
      <w:proofErr w:type="gramEnd"/>
      <w:r w:rsidR="00D5548C"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19.102-77?</w:t>
      </w:r>
    </w:p>
    <w:p w14:paraId="5AC01720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В соответствии с ГОСТ 19.102-77 выделялись 4 основные этапы разработки ПО:</w:t>
      </w:r>
    </w:p>
    <w:p w14:paraId="1644167F" w14:textId="3FF56957" w:rsidR="00A15EEE" w:rsidRPr="00A15EEE" w:rsidRDefault="00A15EEE" w:rsidP="00A15EEE">
      <w:pPr>
        <w:pStyle w:val="a7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постановка задачи (стадия «Техническое задание»);</w:t>
      </w:r>
    </w:p>
    <w:p w14:paraId="4D1FC0E1" w14:textId="062CE8F4" w:rsidR="00A15EEE" w:rsidRPr="00A15EEE" w:rsidRDefault="00A15EEE" w:rsidP="00A15EEE">
      <w:pPr>
        <w:pStyle w:val="a7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анализ требований и разработка спецификаций (стадия «Эскизный проект»);</w:t>
      </w:r>
    </w:p>
    <w:p w14:paraId="56376129" w14:textId="6750CD45" w:rsidR="00A15EEE" w:rsidRPr="00A15EEE" w:rsidRDefault="00A15EEE" w:rsidP="00A15EEE">
      <w:pPr>
        <w:pStyle w:val="a7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проектирование (стадия «Технический проект»);</w:t>
      </w:r>
    </w:p>
    <w:p w14:paraId="2597518A" w14:textId="223A3942" w:rsidR="00A15EEE" w:rsidRPr="00A15EEE" w:rsidRDefault="00A15EEE" w:rsidP="00A15EEE">
      <w:pPr>
        <w:pStyle w:val="a7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реализация (стадия «Рабочий проект»).</w:t>
      </w:r>
    </w:p>
    <w:p w14:paraId="391FE756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Новый стандарт (ГОСТ Р ИСО/МЭК 12207-2010) устанавливает 11 процессов в последовательности выполнения работы над проектом:</w:t>
      </w:r>
    </w:p>
    <w:p w14:paraId="17FA9DAB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a) определение требований правообладателей;</w:t>
      </w:r>
    </w:p>
    <w:p w14:paraId="047F7148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b) анализ системных требований;</w:t>
      </w:r>
    </w:p>
    <w:p w14:paraId="28298790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t>c) проектирование архитектуры системы;</w:t>
      </w:r>
    </w:p>
    <w:p w14:paraId="5C425FD3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d) процесс реализации;</w:t>
      </w:r>
    </w:p>
    <w:p w14:paraId="79630A8C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e) процесс комплексирования системы;</w:t>
      </w:r>
    </w:p>
    <w:p w14:paraId="6798A873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t>f) процесс квалификационного тестирования системы;</w:t>
      </w:r>
    </w:p>
    <w:p w14:paraId="66832CE6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g) процесс инсталляции программных средств;</w:t>
      </w:r>
    </w:p>
    <w:p w14:paraId="515E6DB0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h) процесс поддержки приемки программных средств;</w:t>
      </w:r>
    </w:p>
    <w:p w14:paraId="2EA2D5A0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i) процесс функционирования программных средств;</w:t>
      </w:r>
    </w:p>
    <w:p w14:paraId="37EA290D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t>j) процесс сопровождения программных средств;</w:t>
      </w:r>
    </w:p>
    <w:p w14:paraId="2D35ADF7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t>k) процесс изъятия из обращения программных средств.</w:t>
      </w:r>
    </w:p>
    <w:p w14:paraId="2C317670" w14:textId="7F5FB930" w:rsidR="00816560" w:rsidRPr="00A6243B" w:rsidRDefault="00A15EEE" w:rsidP="00A15EE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 xml:space="preserve">Принципиальное отличие от предыдущего стандарта – пункты </w:t>
      </w:r>
      <w:proofErr w:type="spellStart"/>
      <w:proofErr w:type="gramStart"/>
      <w:r w:rsidRPr="00A15EEE">
        <w:rPr>
          <w:rFonts w:ascii="Times New Roman" w:hAnsi="Times New Roman" w:cs="Times New Roman"/>
          <w:sz w:val="28"/>
          <w:szCs w:val="28"/>
          <w:lang w:val="ru-RU"/>
        </w:rPr>
        <w:t>с,d</w:t>
      </w:r>
      <w:proofErr w:type="spellEnd"/>
      <w:proofErr w:type="gramEnd"/>
      <w:r w:rsidRPr="00A15EEE">
        <w:rPr>
          <w:rFonts w:ascii="Times New Roman" w:hAnsi="Times New Roman" w:cs="Times New Roman"/>
          <w:sz w:val="28"/>
          <w:szCs w:val="28"/>
          <w:lang w:val="ru-RU"/>
        </w:rPr>
        <w:t>, f, j, k</w:t>
      </w:r>
      <w:r w:rsidRPr="00A15EE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sectPr w:rsidR="00816560" w:rsidRPr="00A6243B" w:rsidSect="00A456D9">
      <w:headerReference w:type="default" r:id="rId7"/>
      <w:pgSz w:w="12240" w:h="15840"/>
      <w:pgMar w:top="562" w:right="567" w:bottom="56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D3442" w14:textId="77777777" w:rsidR="003D194A" w:rsidRDefault="003D194A" w:rsidP="00A456D9">
      <w:pPr>
        <w:spacing w:after="0" w:line="240" w:lineRule="auto"/>
      </w:pPr>
      <w:r>
        <w:separator/>
      </w:r>
    </w:p>
  </w:endnote>
  <w:endnote w:type="continuationSeparator" w:id="0">
    <w:p w14:paraId="3916CE4F" w14:textId="77777777" w:rsidR="003D194A" w:rsidRDefault="003D194A" w:rsidP="00A4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8CDB9" w14:textId="77777777" w:rsidR="003D194A" w:rsidRDefault="003D194A" w:rsidP="00A456D9">
      <w:pPr>
        <w:spacing w:after="0" w:line="240" w:lineRule="auto"/>
      </w:pPr>
      <w:r>
        <w:separator/>
      </w:r>
    </w:p>
  </w:footnote>
  <w:footnote w:type="continuationSeparator" w:id="0">
    <w:p w14:paraId="13C8937F" w14:textId="77777777" w:rsidR="003D194A" w:rsidRDefault="003D194A" w:rsidP="00A4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240AA" w14:textId="261F6E7D" w:rsidR="00A456D9" w:rsidRDefault="00A456D9">
    <w:pPr>
      <w:pStyle w:val="a3"/>
    </w:pPr>
    <w:r>
      <w:rPr>
        <w:lang w:val="ru-RU"/>
      </w:rPr>
      <w:t>ПИН-34</w:t>
    </w:r>
    <w:r>
      <w:ptab w:relativeTo="margin" w:alignment="center" w:leader="none"/>
    </w:r>
    <w:r>
      <w:rPr>
        <w:lang w:val="ru-RU"/>
      </w:rPr>
      <w:t>КПО. ЛР №4</w:t>
    </w:r>
    <w:r>
      <w:ptab w:relativeTo="margin" w:alignment="right" w:leader="none"/>
    </w:r>
    <w:r>
      <w:rPr>
        <w:lang w:val="ru-RU"/>
      </w:rPr>
      <w:t>Яськов Максим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231EF"/>
    <w:multiLevelType w:val="hybridMultilevel"/>
    <w:tmpl w:val="BAEA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7E1B"/>
    <w:multiLevelType w:val="hybridMultilevel"/>
    <w:tmpl w:val="3E2ED5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67"/>
    <w:rsid w:val="000B6581"/>
    <w:rsid w:val="001A2478"/>
    <w:rsid w:val="00214C67"/>
    <w:rsid w:val="003C1E71"/>
    <w:rsid w:val="003D194A"/>
    <w:rsid w:val="0046226B"/>
    <w:rsid w:val="004D19B9"/>
    <w:rsid w:val="005E4B96"/>
    <w:rsid w:val="00682482"/>
    <w:rsid w:val="007F4D0E"/>
    <w:rsid w:val="00816560"/>
    <w:rsid w:val="00896712"/>
    <w:rsid w:val="009B006D"/>
    <w:rsid w:val="009C25A2"/>
    <w:rsid w:val="00A15EEE"/>
    <w:rsid w:val="00A456D9"/>
    <w:rsid w:val="00A6243B"/>
    <w:rsid w:val="00B56B5C"/>
    <w:rsid w:val="00BD14DB"/>
    <w:rsid w:val="00D5548C"/>
    <w:rsid w:val="00F94114"/>
    <w:rsid w:val="00FB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E9B6"/>
  <w15:chartTrackingRefBased/>
  <w15:docId w15:val="{C247DC5D-DFE2-45CF-8DAC-94A77CD0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6D9"/>
  </w:style>
  <w:style w:type="paragraph" w:styleId="a5">
    <w:name w:val="footer"/>
    <w:basedOn w:val="a"/>
    <w:link w:val="a6"/>
    <w:uiPriority w:val="99"/>
    <w:unhideWhenUsed/>
    <w:rsid w:val="00A4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6D9"/>
  </w:style>
  <w:style w:type="paragraph" w:styleId="a7">
    <w:name w:val="List Paragraph"/>
    <w:basedOn w:val="a"/>
    <w:uiPriority w:val="34"/>
    <w:qFormat/>
    <w:rsid w:val="009C25A2"/>
    <w:pPr>
      <w:ind w:left="720"/>
      <w:contextualSpacing/>
    </w:pPr>
  </w:style>
  <w:style w:type="paragraph" w:customStyle="1" w:styleId="a8">
    <w:name w:val="текст_основной"/>
    <w:qFormat/>
    <w:rsid w:val="000B65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Yaskov</dc:creator>
  <cp:keywords/>
  <dc:description/>
  <cp:lastModifiedBy>Maksim Yaskov</cp:lastModifiedBy>
  <cp:revision>19</cp:revision>
  <dcterms:created xsi:type="dcterms:W3CDTF">2020-11-03T04:47:00Z</dcterms:created>
  <dcterms:modified xsi:type="dcterms:W3CDTF">2020-11-03T06:14:00Z</dcterms:modified>
</cp:coreProperties>
</file>