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Submission to Information and Software Technology</w:t>
      </w:r>
    </w:p>
    <w:p>
      <w:r>
        <w:t>21 October 2026</w:t>
      </w:r>
    </w:p>
    <w:p>
      <w:r>
        <w:t>Dear Editors of Information and Software Technology,</w:t>
      </w:r>
    </w:p>
    <w:p>
      <w:r>
        <w:t>Please consider the Research Paper entitled “Separating Role Labels from Call Structure in LLM Code Generation: An Empirical Quality–Resource Study.”</w:t>
      </w:r>
    </w:p>
    <w:p>
      <w:r>
        <w:t>The manuscript addresses a practical software-engineering decision: when a code-generation workflow changes both role instructions and the number of calls, which intervention is supported by executable-quality and resource evidence? A crossed experiment holds the operation sentences and supplied task context fixed while varying neutral versus planner–implementer–reviewer labels and one versus three calls. A direct solver provides a simpler baseline.</w:t>
      </w:r>
    </w:p>
    <w:p>
      <w:r>
        <w:t>The primary allocation covers 1,000 BigCodeBench tasks with three fresh requests per condition; it does not treat 15,000 assignments as independent tasks. The study reports task-paired outcomes, external native tests with controls, provider-counter accounting, separate quality and resource denominators, source-dependence diagnostics, and extreme missing-outcome bounds. Neither role-label null is rejected after Holm correction, which does not establish equivalence. The three-call conditions have lower success on complete eligible quality pairs and higher API-equivalent valuation on complete resource pairs. A separate adapted Self-Collaboration comparison retains the important limit that its unavailable outcomes prevent a full-population quality ranking.</w:t>
      </w:r>
    </w:p>
    <w:p>
      <w:r>
        <w:t>The IST version develops the implications for evidence-based workflow selection and distinguishes this restricted intervention from complete multi-agent frameworks, including consensus planning. It provides the original nine tables and workflow, a structured abstract, a data-availability statement and frozen-archive citation, and separate disclosure of AI use in the research and manuscript preparation. It contains no new experiments or invented findings.</w:t>
      </w:r>
    </w:p>
    <w:p>
      <w:r>
        <w:t>The contribution is a controlled empirical account of a software-development workflow choice. Its scope is fixed-context function generation; it does not claim an improvement in developer productivity, a universal multi-agent penalty, independent model-family replication, or a production cost optimum.</w:t>
      </w:r>
    </w:p>
    <w:p>
      <w:r>
        <w:t>Correspondence:</w:t>
      </w:r>
      <w:r>
        <w:br/>
      </w:r>
      <w:r>
        <w:t>Daniil Privezentsev</w:t>
      </w:r>
      <w:r>
        <w:br/>
      </w:r>
      <w:r>
        <w:t>National Research University Higher School of Economics</w:t>
      </w:r>
      <w:r>
        <w:br/>
      </w:r>
      <w:r>
        <w:t>20 Myasnitskaya Ulitsa, Moscow 101000, Russia</w:t>
      </w:r>
      <w:r>
        <w:br/>
      </w:r>
      <w:r>
        <w:t>daprivezentsev@edu.hse.ru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Privezentsev</dc:creator>
  <cp:keywords/>
  <dc:description>generated by python-docx</dc:description>
  <cp:lastModifiedBy>Daniil Privezentsev</cp:lastModifiedBy>
  <cp:revision>1</cp:revision>
  <dcterms:created xsi:type="dcterms:W3CDTF">2013-12-23T23:15:00Z</dcterms:created>
  <dcterms:modified xsi:type="dcterms:W3CDTF">2013-12-23T23:15:00Z</dcterms:modified>
  <cp:category/>
</cp:coreProperties>
</file>