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Arial"/>
          <w:b/>
          <w:color w:val="1F4E79"/>
          <w:sz w:val="40"/>
        </w:rPr>
        <w:t>Борьба с онкозаболеваниями в России и мире</w:t>
      </w:r>
    </w:p>
    <w:p>
      <w:pPr>
        <w:spacing w:after="200"/>
        <w:jc w:val="center"/>
      </w:pPr>
      <w:r>
        <w:rPr>
          <w:rFonts w:ascii="Arial" w:hAnsi="Arial" w:eastAsia="Arial"/>
          <w:i/>
          <w:color w:val="505050"/>
          <w:sz w:val="24"/>
        </w:rPr>
        <w:t>Материалы для раздела сайта: проекты, меры, результаты и источники</w:t>
      </w:r>
    </w:p>
    <w:p>
      <w:pPr>
        <w:spacing w:after="120" w:line="259" w:lineRule="auto"/>
      </w:pPr>
      <w:r>
        <w:rPr>
          <w:rFonts w:ascii="Arial" w:hAnsi="Arial" w:eastAsia="Arial"/>
          <w:sz w:val="20"/>
        </w:rPr>
        <w:t>Раздел можно использовать как основу для страницы сайта о том, какие меры были запущены в России для борьбы с онкологическими заболеваниями, какие результаты отражены в статистике и как Россия выглядит в сравнении с другими странами.</w:t>
      </w:r>
    </w:p>
    <w:p>
      <w:pPr>
        <w:pStyle w:val="Heading1"/>
        <w:spacing w:before="200" w:after="120"/>
      </w:pPr>
      <w:r>
        <w:rPr>
          <w:rFonts w:ascii="Arial" w:hAnsi="Arial" w:eastAsia="Arial"/>
          <w:b/>
          <w:color w:val="1F4E79"/>
          <w:sz w:val="32"/>
        </w:rPr>
        <w:t>1. Что запустили в РФ по борьбе с онкозаболеваниями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Проект / мера</w:t>
            </w:r>
          </w:p>
        </w:tc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Когда</w:t>
            </w:r>
          </w:p>
        </w:tc>
        <w:tc>
          <w:tcPr>
            <w:tcW w:type="dxa" w:w="331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Что сделали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Конкретные цифры / результат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Ссылка на источник</w:t>
            </w:r>
          </w:p>
        </w:tc>
      </w:tr>
      <w:tr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Федеральный проект «Борьба с онкологическими заболеваниями»</w:t>
            </w:r>
          </w:p>
        </w:tc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2019-2024; далее продление целей до 2030</w:t>
            </w:r>
          </w:p>
        </w:tc>
        <w:tc>
          <w:tcPr>
            <w:tcW w:type="dxa" w:w="331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В рамках нацпроекта «Здравоохранение» запустили системную программу: диагностика, лечение, переоснащение, маршрутизация пациентов.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В паспорте проекта закреплены показатели: доля выявления рака на I-II стадиях, одногодичная летальность, доля пациентов под наблюдением 5 лет и более.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9">
              <w:r>
                <w:rPr>
                  <w:color w:val="0563C1"/>
                  <w:u w:val="single"/>
                  <w:sz w:val="16"/>
                  <w:szCs w:val="16"/>
                </w:rPr>
                <w:t>Паспорт федерального проекта, Минздрав РФ (PDF)</w:t>
              </w:r>
            </w:hyperlink>
          </w:p>
        </w:tc>
      </w:tr>
      <w:tr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Региональные программы «Борьба с онкологическими заболеваниями»</w:t>
            </w:r>
          </w:p>
        </w:tc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с 2019</w:t>
            </w:r>
          </w:p>
        </w:tc>
        <w:tc>
          <w:tcPr>
            <w:tcW w:type="dxa" w:w="331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Каждый субъект РФ должен был разработать свою программу борьбы с онкологией.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Программы реализуются в 85 субъектах РФ.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9">
              <w:r>
                <w:rPr>
                  <w:color w:val="0563C1"/>
                  <w:u w:val="single"/>
                  <w:sz w:val="16"/>
                  <w:szCs w:val="16"/>
                </w:rPr>
                <w:t>Паспорт федерального проекта, Минздрав РФ (PDF)</w:t>
              </w:r>
            </w:hyperlink>
          </w:p>
        </w:tc>
      </w:tr>
      <w:tr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Центры амбулаторной онкологической помощи - ЦАОП</w:t>
            </w:r>
          </w:p>
        </w:tc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активно создаются с 2019</w:t>
            </w:r>
          </w:p>
        </w:tc>
        <w:tc>
          <w:tcPr>
            <w:tcW w:type="dxa" w:w="331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Пациент может пройти обследование и часть лечения ближе к дому, без постоянных поездок в крупный онкоцентр.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К февралю 2024 года открыто более 500 ЦАОП.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0">
              <w:r>
                <w:rPr>
                  <w:color w:val="0563C1"/>
                  <w:u w:val="single"/>
                  <w:sz w:val="16"/>
                  <w:szCs w:val="16"/>
                </w:rPr>
                <w:t>Минздрав РФ: открытие новых онкоцентров, 2024</w:t>
              </w:r>
            </w:hyperlink>
          </w:p>
        </w:tc>
      </w:tr>
      <w:tr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Референс-центры</w:t>
            </w:r>
          </w:p>
        </w:tc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к 2024</w:t>
            </w:r>
          </w:p>
        </w:tc>
        <w:tc>
          <w:tcPr>
            <w:tcW w:type="dxa" w:w="331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Центры помогают уточнять диагнозы, проводить сложные исследования, подбирать лечение.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Созданы и работают 18 референс-центров.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0">
              <w:r>
                <w:rPr>
                  <w:color w:val="0563C1"/>
                  <w:u w:val="single"/>
                  <w:sz w:val="16"/>
                  <w:szCs w:val="16"/>
                </w:rPr>
                <w:t>Минздрав РФ: открытие новых онкоцентров, 2024</w:t>
              </w:r>
            </w:hyperlink>
          </w:p>
        </w:tc>
      </w:tr>
      <w:tr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Новые онкологические центры</w:t>
            </w:r>
          </w:p>
        </w:tc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2023-2024</w:t>
            </w:r>
          </w:p>
        </w:tc>
        <w:tc>
          <w:tcPr>
            <w:tcW w:type="dxa" w:w="331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Построены и открыты новые современные онкоучреждения.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В феврале 2024 открыты центры в Томске, Уфе и Якутске; Тульский онкодиспансер начал работу в конце 2023 года.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0">
              <w:r>
                <w:rPr>
                  <w:color w:val="0563C1"/>
                  <w:u w:val="single"/>
                  <w:sz w:val="16"/>
                  <w:szCs w:val="16"/>
                </w:rPr>
                <w:t>Минздрав РФ: открытие новых онкоцентров, 2024</w:t>
              </w:r>
            </w:hyperlink>
          </w:p>
        </w:tc>
      </w:tr>
      <w:tr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Строительство онкоцентров за последние годы</w:t>
            </w:r>
          </w:p>
        </w:tc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2019-2024</w:t>
            </w:r>
          </w:p>
        </w:tc>
        <w:tc>
          <w:tcPr>
            <w:tcW w:type="dxa" w:w="331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В регионах появились крупные современные объекты онкопомощи.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По данным Минздрава, за последние годы введено 10 онкологических центров.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0">
              <w:r>
                <w:rPr>
                  <w:color w:val="0563C1"/>
                  <w:u w:val="single"/>
                  <w:sz w:val="16"/>
                  <w:szCs w:val="16"/>
                </w:rPr>
                <w:t>Минздрав РФ: открытие новых онкоцентров, 2024</w:t>
              </w:r>
            </w:hyperlink>
          </w:p>
        </w:tc>
      </w:tr>
      <w:tr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Переоснащение оборудованием</w:t>
            </w:r>
          </w:p>
        </w:tc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2023-2024</w:t>
            </w:r>
          </w:p>
        </w:tc>
        <w:tc>
          <w:tcPr>
            <w:tcW w:type="dxa" w:w="331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Закупка и поставка современного оборудования для диагностики и лечения.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В 2023 году 4 онкоцентра в новых регионах получили более 300 единиц оборудования; на 2024 год планировалось ещё 190 единиц.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0">
              <w:r>
                <w:rPr>
                  <w:color w:val="0563C1"/>
                  <w:u w:val="single"/>
                  <w:sz w:val="16"/>
                  <w:szCs w:val="16"/>
                </w:rPr>
                <w:t>Минздрав РФ: открытие новых онкоцентров, 2024</w:t>
              </w:r>
            </w:hyperlink>
          </w:p>
        </w:tc>
      </w:tr>
      <w:tr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Рост кадров в онкологии</w:t>
            </w:r>
          </w:p>
        </w:tc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к 2024</w:t>
            </w:r>
          </w:p>
        </w:tc>
        <w:tc>
          <w:tcPr>
            <w:tcW w:type="dxa" w:w="331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Увеличение числа специалистов в онкологической службе.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Количество онкологов выросло на 25%, радиологов - почти в 1,5 раза, гематологов - на 8%.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0">
              <w:r>
                <w:rPr>
                  <w:color w:val="0563C1"/>
                  <w:u w:val="single"/>
                  <w:sz w:val="16"/>
                  <w:szCs w:val="16"/>
                </w:rPr>
                <w:t>Минздрав РФ: открытие новых онкоцентров, 2024</w:t>
              </w:r>
            </w:hyperlink>
          </w:p>
        </w:tc>
      </w:tr>
      <w:tr>
        <w:tc>
          <w:tcPr>
            <w:tcW w:type="dxa" w:w="223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Новые схемы лечения и лекарства</w:t>
            </w:r>
          </w:p>
        </w:tc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к 2024</w:t>
            </w:r>
          </w:p>
        </w:tc>
        <w:tc>
          <w:tcPr>
            <w:tcW w:type="dxa" w:w="331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Расширение возможностей химиотерапии и индивидуального подбора лечения.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Количество схем химиотерапии увеличилось на 60%; зарегистрировано 135 отечественных лекарственных препаратов для применения в медорганизациях.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0">
              <w:r>
                <w:rPr>
                  <w:color w:val="0563C1"/>
                  <w:u w:val="single"/>
                  <w:sz w:val="16"/>
                  <w:szCs w:val="16"/>
                </w:rPr>
                <w:t>Минздрав РФ: открытие новых онкоцентров, 2024</w:t>
              </w:r>
            </w:hyperlink>
          </w:p>
        </w:tc>
      </w:tr>
    </w:tbl>
    <w:p>
      <w:pPr>
        <w:pStyle w:val="Heading1"/>
        <w:spacing w:before="200" w:after="120"/>
      </w:pPr>
      <w:r>
        <w:rPr>
          <w:rFonts w:ascii="Arial" w:hAnsi="Arial" w:eastAsia="Arial"/>
          <w:b/>
          <w:color w:val="1F4E79"/>
          <w:sz w:val="32"/>
        </w:rPr>
        <w:t>2. Как изменились показатели в России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302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Было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Стало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Что это значит</w:t>
            </w:r>
          </w:p>
        </w:tc>
        <w:tc>
          <w:tcPr>
            <w:tcW w:type="dxa" w:w="41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Ссылка на источник</w:t>
            </w:r>
          </w:p>
        </w:tc>
      </w:tr>
      <w:tr>
        <w:tc>
          <w:tcPr>
            <w:tcW w:type="dxa" w:w="302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Выявление злокачественных новообразований на I-II стадиях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57,4% в 2019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60,5% в 2023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Рак стали чаще находить на ранних стадиях, когда лечение обычно эффективнее.</w:t>
            </w:r>
          </w:p>
        </w:tc>
        <w:tc>
          <w:tcPr>
            <w:tcW w:type="dxa" w:w="41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  <w:sz w:val="16"/>
                  <w:szCs w:val="16"/>
                </w:rPr>
                <w:t>2019: состояние онкопомощи в РФ (PDF)</w:t>
              </w:r>
            </w:hyperlink>
            <w:r>
              <w:rPr>
                <w:rFonts w:ascii="Arial" w:hAnsi="Arial" w:eastAsia="Arial"/>
                <w:sz w:val="16"/>
              </w:rPr>
              <w:br/>
            </w:r>
            <w:hyperlink r:id="rId12">
              <w:r>
                <w:rPr>
                  <w:color w:val="0563C1"/>
                  <w:u w:val="single"/>
                  <w:sz w:val="16"/>
                  <w:szCs w:val="16"/>
                </w:rPr>
                <w:t>2023: состояние онкопомощи в РФ (PDF)</w:t>
              </w:r>
            </w:hyperlink>
          </w:p>
        </w:tc>
      </w:tr>
      <w:tr>
        <w:tc>
          <w:tcPr>
            <w:tcW w:type="dxa" w:w="302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Выявление в запущенной стадии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19,8% в 2019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18,9% в 2023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Доля поздно выявленных случаев немного снизилась.</w:t>
            </w:r>
          </w:p>
        </w:tc>
        <w:tc>
          <w:tcPr>
            <w:tcW w:type="dxa" w:w="41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  <w:sz w:val="16"/>
                  <w:szCs w:val="16"/>
                </w:rPr>
                <w:t>2019: состояние онкопомощи в РФ (PDF)</w:t>
              </w:r>
            </w:hyperlink>
            <w:r>
              <w:rPr>
                <w:rFonts w:ascii="Arial" w:hAnsi="Arial" w:eastAsia="Arial"/>
                <w:sz w:val="16"/>
              </w:rPr>
              <w:br/>
            </w:r>
            <w:hyperlink r:id="rId12">
              <w:r>
                <w:rPr>
                  <w:color w:val="0563C1"/>
                  <w:u w:val="single"/>
                  <w:sz w:val="16"/>
                  <w:szCs w:val="16"/>
                </w:rPr>
                <w:t>2023: состояние онкопомощи в РФ (PDF)</w:t>
              </w:r>
            </w:hyperlink>
          </w:p>
        </w:tc>
      </w:tr>
      <w:tr>
        <w:tc>
          <w:tcPr>
            <w:tcW w:type="dxa" w:w="302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Пациенты, состоящие на учёте у онкологов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3 928 338 человек в 2019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4 163 202 человека в 2023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Больше людей живут после постановки диагноза и находятся под наблюдением.</w:t>
            </w:r>
          </w:p>
        </w:tc>
        <w:tc>
          <w:tcPr>
            <w:tcW w:type="dxa" w:w="41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  <w:sz w:val="16"/>
                  <w:szCs w:val="16"/>
                </w:rPr>
                <w:t>2019: состояние онкопомощи в РФ (PDF)</w:t>
              </w:r>
            </w:hyperlink>
            <w:r>
              <w:rPr>
                <w:rFonts w:ascii="Arial" w:hAnsi="Arial" w:eastAsia="Arial"/>
                <w:sz w:val="16"/>
              </w:rPr>
              <w:br/>
            </w:r>
            <w:hyperlink r:id="rId12">
              <w:r>
                <w:rPr>
                  <w:color w:val="0563C1"/>
                  <w:u w:val="single"/>
                  <w:sz w:val="16"/>
                  <w:szCs w:val="16"/>
                </w:rPr>
                <w:t>2023: состояние онкопомощи в РФ (PDF)</w:t>
              </w:r>
            </w:hyperlink>
          </w:p>
        </w:tc>
      </w:tr>
      <w:tr>
        <w:tc>
          <w:tcPr>
            <w:tcW w:type="dxa" w:w="302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Пациенты под наблюдением 5 лет и более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2 173 560 человек, или 55,3% в 2019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2 448 691 человек, или 58,8% в 2023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Увеличилась доля пациентов, живущих с диагнозом длительно.</w:t>
            </w:r>
          </w:p>
        </w:tc>
        <w:tc>
          <w:tcPr>
            <w:tcW w:type="dxa" w:w="41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  <w:sz w:val="16"/>
                  <w:szCs w:val="16"/>
                </w:rPr>
                <w:t>2019: состояние онкопомощи в РФ (PDF)</w:t>
              </w:r>
            </w:hyperlink>
            <w:r>
              <w:rPr>
                <w:rFonts w:ascii="Arial" w:hAnsi="Arial" w:eastAsia="Arial"/>
                <w:sz w:val="16"/>
              </w:rPr>
              <w:br/>
            </w:r>
            <w:hyperlink r:id="rId12">
              <w:r>
                <w:rPr>
                  <w:color w:val="0563C1"/>
                  <w:u w:val="single"/>
                  <w:sz w:val="16"/>
                  <w:szCs w:val="16"/>
                </w:rPr>
                <w:t>2023: состояние онкопомощи в РФ (PDF)</w:t>
              </w:r>
            </w:hyperlink>
          </w:p>
        </w:tc>
      </w:tr>
      <w:tr>
        <w:tc>
          <w:tcPr>
            <w:tcW w:type="dxa" w:w="302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Рак шейки матки in situ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4 964 случая в 2019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7 154 случая в 2023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Чаще выявляют предраковые и самые ранние формы заболевания.</w:t>
            </w:r>
          </w:p>
        </w:tc>
        <w:tc>
          <w:tcPr>
            <w:tcW w:type="dxa" w:w="41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  <w:sz w:val="16"/>
                  <w:szCs w:val="16"/>
                </w:rPr>
                <w:t>2019: состояние онкопомощи в РФ (PDF)</w:t>
              </w:r>
            </w:hyperlink>
            <w:r>
              <w:rPr>
                <w:rFonts w:ascii="Arial" w:hAnsi="Arial" w:eastAsia="Arial"/>
                <w:sz w:val="16"/>
              </w:rPr>
              <w:br/>
            </w:r>
            <w:hyperlink r:id="rId12">
              <w:r>
                <w:rPr>
                  <w:color w:val="0563C1"/>
                  <w:u w:val="single"/>
                  <w:sz w:val="16"/>
                  <w:szCs w:val="16"/>
                </w:rPr>
                <w:t>2023: состояние онкопомощи в РФ (PDF)</w:t>
              </w:r>
            </w:hyperlink>
          </w:p>
        </w:tc>
      </w:tr>
      <w:tr>
        <w:tc>
          <w:tcPr>
            <w:tcW w:type="dxa" w:w="302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Одногодичная летальность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-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снижение на 17,5% к 2024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По оценке Минздрава, меньше пациентов умирают в первый год после постановки диагноза.</w:t>
            </w:r>
          </w:p>
        </w:tc>
        <w:tc>
          <w:tcPr>
            <w:tcW w:type="dxa" w:w="41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0">
              <w:r>
                <w:rPr>
                  <w:color w:val="0563C1"/>
                  <w:u w:val="single"/>
                  <w:sz w:val="16"/>
                  <w:szCs w:val="16"/>
                </w:rPr>
                <w:t>Минздрав РФ: открытие новых онкоцентров, 2024</w:t>
              </w:r>
            </w:hyperlink>
          </w:p>
        </w:tc>
      </w:tr>
      <w:tr>
        <w:tc>
          <w:tcPr>
            <w:tcW w:type="dxa" w:w="302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Пятилетняя выживаемость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-</w:t>
            </w:r>
          </w:p>
        </w:tc>
        <w:tc>
          <w:tcPr>
            <w:tcW w:type="dxa" w:w="18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рост более чем на 8% к 2024</w:t>
            </w:r>
          </w:p>
        </w:tc>
        <w:tc>
          <w:tcPr>
            <w:tcW w:type="dxa" w:w="43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Это один из ключевых показателей эффективности онкологической помощи.</w:t>
            </w:r>
          </w:p>
        </w:tc>
        <w:tc>
          <w:tcPr>
            <w:tcW w:type="dxa" w:w="41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0">
              <w:r>
                <w:rPr>
                  <w:color w:val="0563C1"/>
                  <w:u w:val="single"/>
                  <w:sz w:val="16"/>
                  <w:szCs w:val="16"/>
                </w:rPr>
                <w:t>Минздрав РФ: открытие новых онкоцентров, 2024</w:t>
              </w:r>
            </w:hyperlink>
          </w:p>
        </w:tc>
      </w:tr>
    </w:tbl>
    <w:p>
      <w:pPr>
        <w:pStyle w:val="Heading1"/>
        <w:spacing w:before="200" w:after="120"/>
      </w:pPr>
      <w:r>
        <w:rPr>
          <w:rFonts w:ascii="Arial" w:hAnsi="Arial" w:eastAsia="Arial"/>
          <w:b/>
          <w:color w:val="1F4E79"/>
          <w:sz w:val="32"/>
        </w:rPr>
        <w:t>3. Сравнение России с другими странами, данные GLOBOCAN 2022</w:t>
      </w:r>
    </w:p>
    <w:p>
      <w:pPr>
        <w:spacing w:after="120" w:line="259" w:lineRule="auto"/>
      </w:pPr>
      <w:r>
        <w:rPr>
          <w:rFonts w:ascii="Arial" w:hAnsi="Arial" w:eastAsia="Arial"/>
          <w:sz w:val="18"/>
        </w:rPr>
        <w:t>Для международного сравнения важно использовать возраст-стандартизированные показатели: они позволяют сравнивать страны с разной численностью и возрастной структурой населения.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9"/>
        <w:gridCol w:w="2199"/>
        <w:gridCol w:w="2199"/>
        <w:gridCol w:w="2199"/>
        <w:gridCol w:w="2199"/>
        <w:gridCol w:w="2199"/>
        <w:gridCol w:w="2199"/>
      </w:tblGrid>
      <w:tr>
        <w:trPr>
          <w:tblHeader w:val="true"/>
        </w:trPr>
        <w:tc>
          <w:tcPr>
            <w:tcW w:type="dxa" w:w="10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Страна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Новые случаи рака, 2022</w:t>
            </w:r>
          </w:p>
        </w:tc>
        <w:tc>
          <w:tcPr>
            <w:tcW w:type="dxa" w:w="136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Смерти от рака, 2022</w:t>
            </w:r>
          </w:p>
        </w:tc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Возраст-стандартизированная заболеваемость</w:t>
            </w:r>
          </w:p>
        </w:tc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Возраст-стандартизированная смертность</w:t>
            </w:r>
          </w:p>
        </w:tc>
        <w:tc>
          <w:tcPr>
            <w:tcW w:type="dxa" w:w="39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Вывод</w:t>
            </w:r>
          </w:p>
        </w:tc>
        <w:tc>
          <w:tcPr>
            <w:tcW w:type="dxa" w:w="357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Ссылка на источник</w:t>
            </w:r>
          </w:p>
        </w:tc>
      </w:tr>
      <w:tr>
        <w:tc>
          <w:tcPr>
            <w:tcW w:type="dxa" w:w="10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Россия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635 560</w:t>
            </w:r>
          </w:p>
        </w:tc>
        <w:tc>
          <w:tcPr>
            <w:tcW w:type="dxa" w:w="136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311 729</w:t>
            </w:r>
          </w:p>
        </w:tc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248,1 на 100 тыс.</w:t>
            </w:r>
          </w:p>
        </w:tc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110,5 на 100 тыс.</w:t>
            </w:r>
          </w:p>
        </w:tc>
        <w:tc>
          <w:tcPr>
            <w:tcW w:type="dxa" w:w="39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Смертность выше, чем в США, Германии и Японии при сопоставимой или более низкой заболеваемости.</w:t>
            </w:r>
          </w:p>
        </w:tc>
        <w:tc>
          <w:tcPr>
            <w:tcW w:type="dxa" w:w="357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3">
              <w:r>
                <w:rPr>
                  <w:color w:val="0563C1"/>
                  <w:u w:val="single"/>
                  <w:sz w:val="15"/>
                  <w:szCs w:val="15"/>
                </w:rPr>
                <w:t>GLOBOCAN Russia, PDF</w:t>
              </w:r>
            </w:hyperlink>
          </w:p>
        </w:tc>
      </w:tr>
      <w:tr>
        <w:tc>
          <w:tcPr>
            <w:tcW w:type="dxa" w:w="10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США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2 380 189</w:t>
            </w:r>
          </w:p>
        </w:tc>
        <w:tc>
          <w:tcPr>
            <w:tcW w:type="dxa" w:w="136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605 761</w:t>
            </w:r>
          </w:p>
        </w:tc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367,0 на 100 тыс.</w:t>
            </w:r>
          </w:p>
        </w:tc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82,3 на 100 тыс.</w:t>
            </w:r>
          </w:p>
        </w:tc>
        <w:tc>
          <w:tcPr>
            <w:tcW w:type="dxa" w:w="39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Заболеваемость высокая, но смертность ниже российской - вероятно, влияет ранняя диагностика и доступность терапии.</w:t>
            </w:r>
          </w:p>
        </w:tc>
        <w:tc>
          <w:tcPr>
            <w:tcW w:type="dxa" w:w="357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4">
              <w:r>
                <w:rPr>
                  <w:color w:val="0563C1"/>
                  <w:u w:val="single"/>
                  <w:sz w:val="15"/>
                  <w:szCs w:val="15"/>
                </w:rPr>
                <w:t>GLOBOCAN USA, PDF</w:t>
              </w:r>
            </w:hyperlink>
          </w:p>
        </w:tc>
      </w:tr>
      <w:tr>
        <w:tc>
          <w:tcPr>
            <w:tcW w:type="dxa" w:w="10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Германия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605 805</w:t>
            </w:r>
          </w:p>
        </w:tc>
        <w:tc>
          <w:tcPr>
            <w:tcW w:type="dxa" w:w="136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253 170</w:t>
            </w:r>
          </w:p>
        </w:tc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274,2 на 100 тыс.</w:t>
            </w:r>
          </w:p>
        </w:tc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99,7 на 100 тыс.</w:t>
            </w:r>
          </w:p>
        </w:tc>
        <w:tc>
          <w:tcPr>
            <w:tcW w:type="dxa" w:w="39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По числу новых случаев близко к России, но смертность ниже.</w:t>
            </w:r>
          </w:p>
        </w:tc>
        <w:tc>
          <w:tcPr>
            <w:tcW w:type="dxa" w:w="357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  <w:sz w:val="15"/>
                  <w:szCs w:val="15"/>
                </w:rPr>
                <w:t>GLOBOCAN Germany, PDF</w:t>
              </w:r>
            </w:hyperlink>
          </w:p>
        </w:tc>
      </w:tr>
      <w:tr>
        <w:tc>
          <w:tcPr>
            <w:tcW w:type="dxa" w:w="10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Япония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1 005 157</w:t>
            </w:r>
          </w:p>
        </w:tc>
        <w:tc>
          <w:tcPr>
            <w:tcW w:type="dxa" w:w="136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426 278</w:t>
            </w:r>
          </w:p>
        </w:tc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267,1 на 100 тыс.</w:t>
            </w:r>
          </w:p>
        </w:tc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78,6 на 100 тыс.</w:t>
            </w:r>
          </w:p>
        </w:tc>
        <w:tc>
          <w:tcPr>
            <w:tcW w:type="dxa" w:w="39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Несмотря на стареющее население, смертность ниже, чем в России.</w:t>
            </w:r>
          </w:p>
        </w:tc>
        <w:tc>
          <w:tcPr>
            <w:tcW w:type="dxa" w:w="357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6">
              <w:r>
                <w:rPr>
                  <w:color w:val="0563C1"/>
                  <w:u w:val="single"/>
                  <w:sz w:val="15"/>
                  <w:szCs w:val="15"/>
                </w:rPr>
                <w:t>GLOBOCAN Japan, PDF</w:t>
              </w:r>
            </w:hyperlink>
          </w:p>
        </w:tc>
      </w:tr>
      <w:tr>
        <w:tc>
          <w:tcPr>
            <w:tcW w:type="dxa" w:w="103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Китай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4 824 703</w:t>
            </w:r>
          </w:p>
        </w:tc>
        <w:tc>
          <w:tcPr>
            <w:tcW w:type="dxa" w:w="136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2 574 176</w:t>
            </w:r>
          </w:p>
        </w:tc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-</w:t>
            </w:r>
          </w:p>
        </w:tc>
        <w:tc>
          <w:tcPr>
            <w:tcW w:type="dxa" w:w="187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-</w:t>
            </w:r>
          </w:p>
        </w:tc>
        <w:tc>
          <w:tcPr>
            <w:tcW w:type="dxa" w:w="39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Самое большое абсолютное число случаев и смертей из-за масштаба населения.</w:t>
            </w:r>
          </w:p>
        </w:tc>
        <w:tc>
          <w:tcPr>
            <w:tcW w:type="dxa" w:w="357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7">
              <w:r>
                <w:rPr>
                  <w:color w:val="0563C1"/>
                  <w:u w:val="single"/>
                  <w:sz w:val="15"/>
                  <w:szCs w:val="15"/>
                </w:rPr>
                <w:t>GLOBOCAN China, PDF</w:t>
              </w:r>
            </w:hyperlink>
          </w:p>
        </w:tc>
      </w:tr>
    </w:tbl>
    <w:p>
      <w:pPr>
        <w:pStyle w:val="Heading1"/>
        <w:spacing w:before="200" w:after="120"/>
      </w:pPr>
      <w:r>
        <w:rPr>
          <w:rFonts w:ascii="Arial" w:hAnsi="Arial" w:eastAsia="Arial"/>
          <w:b/>
          <w:color w:val="1F4E79"/>
          <w:sz w:val="32"/>
        </w:rPr>
        <w:t>4. Короткий вывод для сайта</w:t>
      </w:r>
    </w:p>
    <w:p>
      <w:pPr>
        <w:spacing w:after="120" w:line="259" w:lineRule="auto"/>
      </w:pPr>
      <w:r>
        <w:rPr>
          <w:rFonts w:ascii="Arial" w:hAnsi="Arial" w:eastAsia="Arial"/>
          <w:sz w:val="20"/>
        </w:rPr>
        <w:t>Россия за последние годы запустила масштабную систему борьбы с онкологическими заболеваниями: федеральный проект, региональные программы, более 500 ЦАОП, 18 референс-центров, строительство новых онкоцентров и переоснащение больниц. Это уже отражается на цифрах: доля выявления рака на I-II стадиях выросла с 57,4% в 2019 году до 60,5% в 2023 году, а доля пациентов, наблюдающихся 5 лет и более, выросла с 55,3% до 58,8%. Но в международном сравнении проблема остаётся серьёзной: смертность от рака в России выше, чем в США, Германии и Японии по данным GLOBOCAN 2022.</w:t>
      </w:r>
    </w:p>
    <w:p>
      <w:pPr>
        <w:pStyle w:val="Heading1"/>
        <w:spacing w:before="200" w:after="120"/>
      </w:pPr>
      <w:r>
        <w:rPr>
          <w:rFonts w:ascii="Arial" w:hAnsi="Arial" w:eastAsia="Arial"/>
          <w:b/>
          <w:color w:val="1F4E79"/>
          <w:sz w:val="32"/>
        </w:rPr>
        <w:t>5. Список основных источников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61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Ссылка</w:t>
            </w:r>
          </w:p>
        </w:tc>
      </w:tr>
      <w:tr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Паспорт федерального проекта «Борьба с онкологическими заболеваниями»</w:t>
            </w:r>
          </w:p>
        </w:tc>
        <w:tc>
          <w:tcPr>
            <w:tcW w:type="dxa" w:w="61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9">
              <w:r>
                <w:rPr>
                  <w:color w:val="0563C1"/>
                  <w:u w:val="single"/>
                  <w:sz w:val="17"/>
                  <w:szCs w:val="17"/>
                </w:rPr>
                <w:t>Открыть источник</w:t>
              </w:r>
            </w:hyperlink>
          </w:p>
        </w:tc>
      </w:tr>
      <w:tr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Минздрав РФ: открытие новых онкологических центров в регионах России, 2024</w:t>
            </w:r>
          </w:p>
        </w:tc>
        <w:tc>
          <w:tcPr>
            <w:tcW w:type="dxa" w:w="61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0">
              <w:r>
                <w:rPr>
                  <w:color w:val="0563C1"/>
                  <w:u w:val="single"/>
                  <w:sz w:val="17"/>
                  <w:szCs w:val="17"/>
                </w:rPr>
                <w:t>Открыть источник</w:t>
              </w:r>
            </w:hyperlink>
          </w:p>
        </w:tc>
      </w:tr>
      <w:tr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Состояние онкологической помощи населению России в 2019 году</w:t>
            </w:r>
          </w:p>
        </w:tc>
        <w:tc>
          <w:tcPr>
            <w:tcW w:type="dxa" w:w="61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  <w:sz w:val="17"/>
                  <w:szCs w:val="17"/>
                </w:rPr>
                <w:t>Открыть PDF</w:t>
              </w:r>
            </w:hyperlink>
          </w:p>
        </w:tc>
      </w:tr>
      <w:tr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Состояние онкологической помощи населению России в 2023 году</w:t>
            </w:r>
          </w:p>
        </w:tc>
        <w:tc>
          <w:tcPr>
            <w:tcW w:type="dxa" w:w="61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2">
              <w:r>
                <w:rPr>
                  <w:color w:val="0563C1"/>
                  <w:u w:val="single"/>
                  <w:sz w:val="17"/>
                  <w:szCs w:val="17"/>
                </w:rPr>
                <w:t>Открыть PDF</w:t>
              </w:r>
            </w:hyperlink>
          </w:p>
        </w:tc>
      </w:tr>
      <w:tr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GLOBOCAN Russia fact sheet</w:t>
            </w:r>
          </w:p>
        </w:tc>
        <w:tc>
          <w:tcPr>
            <w:tcW w:type="dxa" w:w="61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3">
              <w:r>
                <w:rPr>
                  <w:color w:val="0563C1"/>
                  <w:u w:val="single"/>
                  <w:sz w:val="17"/>
                  <w:szCs w:val="17"/>
                </w:rPr>
                <w:t>Открыть PDF</w:t>
              </w:r>
            </w:hyperlink>
          </w:p>
        </w:tc>
      </w:tr>
      <w:tr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GLOBOCAN USA fact sheet</w:t>
            </w:r>
          </w:p>
        </w:tc>
        <w:tc>
          <w:tcPr>
            <w:tcW w:type="dxa" w:w="61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4">
              <w:r>
                <w:rPr>
                  <w:color w:val="0563C1"/>
                  <w:u w:val="single"/>
                  <w:sz w:val="17"/>
                  <w:szCs w:val="17"/>
                </w:rPr>
                <w:t>Открыть PDF</w:t>
              </w:r>
            </w:hyperlink>
          </w:p>
        </w:tc>
      </w:tr>
      <w:tr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GLOBOCAN Germany fact sheet</w:t>
            </w:r>
          </w:p>
        </w:tc>
        <w:tc>
          <w:tcPr>
            <w:tcW w:type="dxa" w:w="61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  <w:sz w:val="17"/>
                  <w:szCs w:val="17"/>
                </w:rPr>
                <w:t>Открыть PDF</w:t>
              </w:r>
            </w:hyperlink>
          </w:p>
        </w:tc>
      </w:tr>
      <w:tr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GLOBOCAN Japan fact sheet</w:t>
            </w:r>
          </w:p>
        </w:tc>
        <w:tc>
          <w:tcPr>
            <w:tcW w:type="dxa" w:w="61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6">
              <w:r>
                <w:rPr>
                  <w:color w:val="0563C1"/>
                  <w:u w:val="single"/>
                  <w:sz w:val="17"/>
                  <w:szCs w:val="17"/>
                </w:rPr>
                <w:t>Открыть PDF</w:t>
              </w:r>
            </w:hyperlink>
          </w:p>
        </w:tc>
      </w:tr>
      <w:tr>
        <w:tc>
          <w:tcPr>
            <w:tcW w:type="dxa" w:w="89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GLOBOCAN China fact sheet</w:t>
            </w:r>
          </w:p>
        </w:tc>
        <w:tc>
          <w:tcPr>
            <w:tcW w:type="dxa" w:w="61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hyperlink r:id="rId17">
              <w:r>
                <w:rPr>
                  <w:color w:val="0563C1"/>
                  <w:u w:val="single"/>
                  <w:sz w:val="17"/>
                  <w:szCs w:val="17"/>
                </w:rPr>
                <w:t>Открыть PDF</w:t>
              </w:r>
            </w:hyperlink>
          </w:p>
        </w:tc>
      </w:tr>
    </w:tbl>
    <w:sectPr w:rsidR="00FC693F" w:rsidRPr="0006063C" w:rsidSect="00034616">
      <w:footerReference w:type="default" r:id="rId18"/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 xml:space="preserve">Материалы для студенческого проекта |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atic-0.minzdrav.gov.ru/system/attachments/attaches/000/068/238/original/%D0%9F%D0%B0%D1%81%D0%BF%D0%BE%D1%80%D1%82_%D0%A4%D0%9F_%D0%91%D0%9E%D0%97.pdf" TargetMode="External"/><Relationship Id="rId10" Type="http://schemas.openxmlformats.org/officeDocument/2006/relationships/hyperlink" Target="https://minzdrav.gov.ru/news/2024/02/03/20839-vladimir-putin-i-mihail-murashko-otkryli-novye-onkologicheskie-tsentry-v-regionah-rossii" TargetMode="External"/><Relationship Id="rId11" Type="http://schemas.openxmlformats.org/officeDocument/2006/relationships/hyperlink" Target="https://oncology-association.ru/wp-content/uploads/2021/10/pomoshh-2019.pdf" TargetMode="External"/><Relationship Id="rId12" Type="http://schemas.openxmlformats.org/officeDocument/2006/relationships/hyperlink" Target="https://oncology-association.ru/wp-content/uploads/2024/06/sop-2023-elektronnaya-versiya.pdf" TargetMode="External"/><Relationship Id="rId13" Type="http://schemas.openxmlformats.org/officeDocument/2006/relationships/hyperlink" Target="https://gco.iarc.who.int/media/globocan/factsheets/populations/643-russian-federation-fact-sheet.pdf" TargetMode="External"/><Relationship Id="rId14" Type="http://schemas.openxmlformats.org/officeDocument/2006/relationships/hyperlink" Target="https://gco.iarc.who.int/media/globocan/factsheets/populations/840-united-states-of-america-fact-sheet.pdf" TargetMode="External"/><Relationship Id="rId15" Type="http://schemas.openxmlformats.org/officeDocument/2006/relationships/hyperlink" Target="https://gco.iarc.who.int/media/globocan/factsheets/populations/276-germany-fact-sheet.pdf" TargetMode="External"/><Relationship Id="rId16" Type="http://schemas.openxmlformats.org/officeDocument/2006/relationships/hyperlink" Target="https://gco.iarc.who.int/media/globocan/factsheets/populations/392-japan-fact-sheet.pdf" TargetMode="External"/><Relationship Id="rId17" Type="http://schemas.openxmlformats.org/officeDocument/2006/relationships/hyperlink" Target="https://gco.iarc.who.int/media/globocan/factsheets/populations/160-china-fact-sheet.pdf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