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47A3" w14:textId="06452EB9" w:rsidR="008A28E5" w:rsidRDefault="008A28E5">
      <w:r>
        <w:t>El artículo 84 indica que las inconformidades se tienen que presentar por escrito a través de la plataforma. El escrito en cuestión debe contener</w:t>
      </w:r>
      <w:r w:rsidR="00DF562E">
        <w:t xml:space="preserve"> lo siguiente:</w:t>
      </w:r>
      <w:r>
        <w:t xml:space="preserve"> el nombre del </w:t>
      </w:r>
      <w:r w:rsidRPr="00D21B2A">
        <w:rPr>
          <w:b/>
          <w:bCs/>
        </w:rPr>
        <w:t>inconforme</w:t>
      </w:r>
      <w:r>
        <w:t xml:space="preserve"> </w:t>
      </w:r>
      <w:r w:rsidR="00DF562E">
        <w:t>y el</w:t>
      </w:r>
      <w:r>
        <w:t xml:space="preserve"> de</w:t>
      </w:r>
      <w:r w:rsidR="00097D6F">
        <w:t xml:space="preserve">l </w:t>
      </w:r>
      <w:r w:rsidR="00097D6F" w:rsidRPr="00D21B2A">
        <w:rPr>
          <w:b/>
          <w:bCs/>
        </w:rPr>
        <w:t>promovente</w:t>
      </w:r>
      <w:r w:rsidR="00097D6F">
        <w:t xml:space="preserve"> del inconforme, las inconformidades a presentar</w:t>
      </w:r>
      <w:r w:rsidR="00CA4BAE">
        <w:t xml:space="preserve"> en la plataforma requieren de la firma electrónica de la persona que las esta promoviendo, además la representación legal de las personas se tiene que acreditar con el instrumento legal registrado en la plataforma</w:t>
      </w:r>
      <w:r w:rsidR="00DF562E">
        <w:t xml:space="preserve">, se tiene que incluir también el instrumento de público del inconforme en original o copia certificada para poder acreditar su representación; el </w:t>
      </w:r>
      <w:r w:rsidR="00DF562E" w:rsidRPr="00D21B2A">
        <w:rPr>
          <w:b/>
          <w:bCs/>
        </w:rPr>
        <w:t>domicilio</w:t>
      </w:r>
      <w:r w:rsidR="00DF562E">
        <w:t xml:space="preserve"> correspondiente a la autoridad que conoce la inconformidad</w:t>
      </w:r>
      <w:r w:rsidR="00B343EC">
        <w:t>,</w:t>
      </w:r>
      <w:r w:rsidR="00DF562E">
        <w:t xml:space="preserve"> con el que se podrá realizar</w:t>
      </w:r>
      <w:r w:rsidR="00B343EC">
        <w:t xml:space="preserve"> las</w:t>
      </w:r>
      <w:r w:rsidR="00DF562E">
        <w:t xml:space="preserve"> notificaciones</w:t>
      </w:r>
      <w:r w:rsidR="00B343EC">
        <w:t xml:space="preserve"> de manera personal</w:t>
      </w:r>
      <w:r w:rsidR="00DF562E">
        <w:t>, de lo contrario</w:t>
      </w:r>
      <w:r w:rsidR="00D21B2A">
        <w:t xml:space="preserve"> las notificaciones se proporcionarán por rotulón</w:t>
      </w:r>
      <w:r w:rsidR="00C67846">
        <w:t xml:space="preserve"> (las notificaciones también se pueden llevar a cabo por medio de un correo electrónico indicado en el escrito, siempre y cuando el inconforme de su consentimiento)</w:t>
      </w:r>
      <w:r w:rsidR="00D21B2A">
        <w:t>;</w:t>
      </w:r>
      <w:r w:rsidR="00C67846">
        <w:t xml:space="preserve"> el </w:t>
      </w:r>
      <w:r w:rsidR="00B343EC">
        <w:rPr>
          <w:b/>
          <w:bCs/>
        </w:rPr>
        <w:t>acto</w:t>
      </w:r>
      <w:r w:rsidR="00B343EC">
        <w:t xml:space="preserve"> que se desaprueba y la fecha de su notificación a través de la plataforma; las </w:t>
      </w:r>
      <w:r w:rsidR="00B343EC">
        <w:rPr>
          <w:b/>
          <w:bCs/>
        </w:rPr>
        <w:t>pruebas</w:t>
      </w:r>
      <w:r w:rsidR="00B343EC">
        <w:t xml:space="preserve"> que evidencian dicho(s) acto(s)</w:t>
      </w:r>
      <w:r w:rsidR="000B389F">
        <w:t xml:space="preserve">; y los </w:t>
      </w:r>
      <w:r w:rsidR="000B389F" w:rsidRPr="000B389F">
        <w:rPr>
          <w:b/>
          <w:bCs/>
        </w:rPr>
        <w:t>antecedentes</w:t>
      </w:r>
      <w:r w:rsidR="000B389F">
        <w:t xml:space="preserve"> (hechos y abstenciones)</w:t>
      </w:r>
      <w:r w:rsidR="00D21B2A">
        <w:t xml:space="preserve"> </w:t>
      </w:r>
      <w:r w:rsidR="000B389F">
        <w:t xml:space="preserve">del acto desaprobado junto con los motivos de la inconformidad. Si no se cubre alguno de los puntos anteriormente mencionados, se tiene un plazo de 3 días para modificar el escrito, en caso de no hacerlo a tiempo la inconformidad se </w:t>
      </w:r>
      <w:r w:rsidR="003F59F4">
        <w:t>prevendrá por la autoridad que la conozca.</w:t>
      </w:r>
    </w:p>
    <w:p w14:paraId="486AB929" w14:textId="7CB0C276" w:rsidR="003F59F4" w:rsidRDefault="003F59F4">
      <w:r>
        <w:t>En el artículo 85 se mencionan algunos casos en los que la inconformidad no puede surtir efecto, un caso que hay que destacar es aquel en el que se desaprueban actos consentidos en el escrito.</w:t>
      </w:r>
    </w:p>
    <w:p w14:paraId="3347320F" w14:textId="77777777" w:rsidR="00BC33C1" w:rsidRDefault="003F59F4">
      <w:r>
        <w:t xml:space="preserve">El artículo 86 también cubre un caso en el que no puede proceder la instancia de inconformidad por sobreseimiento (es decir la finalización del proceso penal), en este caso el inconforme desiste expresamente. Si se trata de una proposición conjunta presentada por varios inconformes, </w:t>
      </w:r>
      <w:r w:rsidR="00BC33C1">
        <w:t>el desistimiento solo se llevará a cabo si se juntan todas las firmas de los inconformes.</w:t>
      </w:r>
    </w:p>
    <w:p w14:paraId="14A6D423" w14:textId="77777777" w:rsidR="00BC33C1" w:rsidRDefault="00BC33C1">
      <w:r>
        <w:t>El artículo 87 habla acerca de las notificaciones que pueden llevarse a cabo de tres formas: de manera personal, por rotulón y por oficio. Estas notificaciones se podrán realizar por correo electrónico, estas sustituirán las notificaciones personales siempre y cuando los participantes hayan dado consentimiento previo.</w:t>
      </w:r>
    </w:p>
    <w:p w14:paraId="71261361" w14:textId="77777777" w:rsidR="008F362F" w:rsidRDefault="00BC33C1">
      <w:r>
        <w:t>El artículo 89 menciona que la autoridad que conozca de la instancia de la inconformidad</w:t>
      </w:r>
      <w:r w:rsidR="008F362F">
        <w:t>, la examinará posteriormente y en caso de hallar un motivo por el que no puede proceder la desechará.</w:t>
      </w:r>
    </w:p>
    <w:p w14:paraId="13EE4882" w14:textId="77777777" w:rsidR="00181497" w:rsidRDefault="003F59F4">
      <w:r>
        <w:t xml:space="preserve"> </w:t>
      </w:r>
      <w:r w:rsidR="008F362F">
        <w:t xml:space="preserve">En el artículo 91 se define lo que conforme una resolución dictada por la autoridad que tenga conocimiento de una inconformidad. La resolución se compone de los preceptos legales con los que se pretende resolver el asunto, la descripción del acto impugnado, un análisis de los motivos de inconformidad, consideraciones/fundamentos legales </w:t>
      </w:r>
      <w:r w:rsidR="00181497">
        <w:t xml:space="preserve">y una </w:t>
      </w:r>
      <w:r w:rsidR="00181497">
        <w:lastRenderedPageBreak/>
        <w:t>expresión clara tanto de alcances como de efectos. Una vez que se resuelve la inconformidad, la resolución se publica en la plataforma.</w:t>
      </w:r>
    </w:p>
    <w:p w14:paraId="1512B5C8" w14:textId="0498A190" w:rsidR="003F59F4" w:rsidRDefault="00181497">
      <w:r>
        <w:t xml:space="preserve">Por último en el artículo 102 se habla de un caso en el que los participantes optan por otros mecanismos de solución para la resolución de sus discrepancias acerca de la interpretación o la ejecución de los contratos. </w:t>
      </w:r>
      <w:r w:rsidR="008F362F">
        <w:t xml:space="preserve"> </w:t>
      </w:r>
    </w:p>
    <w:sectPr w:rsidR="003F59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E5"/>
    <w:rsid w:val="00097D6F"/>
    <w:rsid w:val="000B389F"/>
    <w:rsid w:val="00175060"/>
    <w:rsid w:val="00181497"/>
    <w:rsid w:val="001A541F"/>
    <w:rsid w:val="001C482E"/>
    <w:rsid w:val="003F59F4"/>
    <w:rsid w:val="005D7197"/>
    <w:rsid w:val="00773C49"/>
    <w:rsid w:val="00870CB9"/>
    <w:rsid w:val="008A28E5"/>
    <w:rsid w:val="008F362F"/>
    <w:rsid w:val="00A5177F"/>
    <w:rsid w:val="00B343EC"/>
    <w:rsid w:val="00B41AB6"/>
    <w:rsid w:val="00BC33C1"/>
    <w:rsid w:val="00C24645"/>
    <w:rsid w:val="00C25624"/>
    <w:rsid w:val="00C67846"/>
    <w:rsid w:val="00CA4BAE"/>
    <w:rsid w:val="00D21B2A"/>
    <w:rsid w:val="00DE02E1"/>
    <w:rsid w:val="00DF562E"/>
    <w:rsid w:val="00F6668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27F0"/>
  <w15:chartTrackingRefBased/>
  <w15:docId w15:val="{014C298D-E5B7-46C5-BFB9-D1552A79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2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A2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A28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28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28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2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2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2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2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28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A28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A28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28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28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2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2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2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28E5"/>
    <w:rPr>
      <w:rFonts w:eastAsiaTheme="majorEastAsia" w:cstheme="majorBidi"/>
      <w:color w:val="272727" w:themeColor="text1" w:themeTint="D8"/>
    </w:rPr>
  </w:style>
  <w:style w:type="paragraph" w:styleId="Ttulo">
    <w:name w:val="Title"/>
    <w:basedOn w:val="Normal"/>
    <w:next w:val="Normal"/>
    <w:link w:val="TtuloCar"/>
    <w:uiPriority w:val="10"/>
    <w:qFormat/>
    <w:rsid w:val="008A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2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2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2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28E5"/>
    <w:pPr>
      <w:spacing w:before="160"/>
      <w:jc w:val="center"/>
    </w:pPr>
    <w:rPr>
      <w:i/>
      <w:iCs/>
      <w:color w:val="404040" w:themeColor="text1" w:themeTint="BF"/>
    </w:rPr>
  </w:style>
  <w:style w:type="character" w:customStyle="1" w:styleId="CitaCar">
    <w:name w:val="Cita Car"/>
    <w:basedOn w:val="Fuentedeprrafopredeter"/>
    <w:link w:val="Cita"/>
    <w:uiPriority w:val="29"/>
    <w:rsid w:val="008A28E5"/>
    <w:rPr>
      <w:i/>
      <w:iCs/>
      <w:color w:val="404040" w:themeColor="text1" w:themeTint="BF"/>
    </w:rPr>
  </w:style>
  <w:style w:type="paragraph" w:styleId="Prrafodelista">
    <w:name w:val="List Paragraph"/>
    <w:basedOn w:val="Normal"/>
    <w:uiPriority w:val="34"/>
    <w:qFormat/>
    <w:rsid w:val="008A28E5"/>
    <w:pPr>
      <w:ind w:left="720"/>
      <w:contextualSpacing/>
    </w:pPr>
  </w:style>
  <w:style w:type="character" w:styleId="nfasisintenso">
    <w:name w:val="Intense Emphasis"/>
    <w:basedOn w:val="Fuentedeprrafopredeter"/>
    <w:uiPriority w:val="21"/>
    <w:qFormat/>
    <w:rsid w:val="008A28E5"/>
    <w:rPr>
      <w:i/>
      <w:iCs/>
      <w:color w:val="2F5496" w:themeColor="accent1" w:themeShade="BF"/>
    </w:rPr>
  </w:style>
  <w:style w:type="paragraph" w:styleId="Citadestacada">
    <w:name w:val="Intense Quote"/>
    <w:basedOn w:val="Normal"/>
    <w:next w:val="Normal"/>
    <w:link w:val="CitadestacadaCar"/>
    <w:uiPriority w:val="30"/>
    <w:qFormat/>
    <w:rsid w:val="008A2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28E5"/>
    <w:rPr>
      <w:i/>
      <w:iCs/>
      <w:color w:val="2F5496" w:themeColor="accent1" w:themeShade="BF"/>
    </w:rPr>
  </w:style>
  <w:style w:type="character" w:styleId="Referenciaintensa">
    <w:name w:val="Intense Reference"/>
    <w:basedOn w:val="Fuentedeprrafopredeter"/>
    <w:uiPriority w:val="32"/>
    <w:qFormat/>
    <w:rsid w:val="008A28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493</Words>
  <Characters>2715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Yael Macias Martinez</dc:creator>
  <cp:keywords/>
  <dc:description/>
  <cp:lastModifiedBy>Arturo Yael Macias Martinez</cp:lastModifiedBy>
  <cp:revision>2</cp:revision>
  <dcterms:created xsi:type="dcterms:W3CDTF">2026-02-09T01:00:00Z</dcterms:created>
  <dcterms:modified xsi:type="dcterms:W3CDTF">2026-02-09T03:55:00Z</dcterms:modified>
</cp:coreProperties>
</file>