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BDEA" w14:textId="15ED1F25" w:rsidR="00A31E9D" w:rsidRPr="00EE1D3D" w:rsidRDefault="00000000" w:rsidP="00EE1D3D">
      <w:pPr>
        <w:rPr>
          <w:lang w:val="es-MX"/>
        </w:rPr>
      </w:pPr>
      <w:r w:rsidRPr="00EE1D3D">
        <w:rPr>
          <w:i/>
          <w:sz w:val="36"/>
          <w:szCs w:val="36"/>
          <w:lang w:val="es-MX"/>
        </w:rPr>
        <w:t>LOPSRM: Título Quinto (De la Plataforma) y Título Sexto (De las Infracciones y Sanciones)</w:t>
      </w:r>
    </w:p>
    <w:p w14:paraId="3A1E8217" w14:textId="77777777" w:rsidR="00A31E9D" w:rsidRPr="00EE1D3D" w:rsidRDefault="00A31E9D">
      <w:pPr>
        <w:rPr>
          <w:lang w:val="es-MX"/>
        </w:rPr>
      </w:pPr>
    </w:p>
    <w:p w14:paraId="15E2CABE" w14:textId="77777777" w:rsidR="00EE1D3D" w:rsidRPr="00EE1D3D" w:rsidRDefault="00EE1D3D" w:rsidP="00EE1D3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val="es-MX" w:eastAsia="es-MX"/>
        </w:rPr>
      </w:pPr>
      <w:r w:rsidRPr="00EE1D3D">
        <w:rPr>
          <w:rFonts w:ascii="Arial" w:eastAsia="Times New Roman" w:hAnsi="Arial" w:cs="Arial"/>
          <w:b/>
          <w:bCs/>
          <w:sz w:val="32"/>
          <w:szCs w:val="32"/>
          <w:lang w:val="es-MX" w:eastAsia="es-MX"/>
        </w:rPr>
        <w:t>1. Introducción</w:t>
      </w:r>
    </w:p>
    <w:p w14:paraId="38889BC3" w14:textId="77777777" w:rsidR="00EE1D3D" w:rsidRPr="00EE1D3D" w:rsidRDefault="00EE1D3D" w:rsidP="00EE1D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EE1D3D">
        <w:rPr>
          <w:rFonts w:ascii="Arial" w:eastAsia="Times New Roman" w:hAnsi="Arial" w:cs="Arial"/>
          <w:sz w:val="24"/>
          <w:szCs w:val="24"/>
          <w:lang w:val="es-MX" w:eastAsia="es-MX"/>
        </w:rPr>
        <w:t>La Ley de Obras Públicas y Servicios Relacionados con las Mismas (LOPSRM) establece, por un lado, un sistema digital obligatorio para gestionar contrataciones públicas (Título Quinto), y por otro, un régimen sancionador para quienes incumplen la ley (Título Sexto). En conjunto, ambos títulos buscan fortalecer la transparencia, la trazabilidad de actos administrativos y la disciplina legal en la contratación pública.</w:t>
      </w:r>
    </w:p>
    <w:p w14:paraId="6BCC5F47" w14:textId="77777777" w:rsidR="00EE1D3D" w:rsidRPr="00EE1D3D" w:rsidRDefault="00EE1D3D" w:rsidP="00EE1D3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val="es-MX" w:eastAsia="es-MX"/>
        </w:rPr>
      </w:pPr>
      <w:r w:rsidRPr="00EE1D3D">
        <w:rPr>
          <w:rFonts w:ascii="Arial" w:eastAsia="Times New Roman" w:hAnsi="Arial" w:cs="Arial"/>
          <w:b/>
          <w:bCs/>
          <w:sz w:val="32"/>
          <w:szCs w:val="32"/>
          <w:lang w:val="es-MX" w:eastAsia="es-MX"/>
        </w:rPr>
        <w:t>2. Desarrollo</w:t>
      </w:r>
    </w:p>
    <w:p w14:paraId="1A702606" w14:textId="77777777" w:rsidR="00EE1D3D" w:rsidRPr="00EE1D3D" w:rsidRDefault="00EE1D3D" w:rsidP="00EE1D3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val="es-MX" w:eastAsia="es-MX"/>
        </w:rPr>
      </w:pPr>
      <w:r w:rsidRPr="00EE1D3D">
        <w:rPr>
          <w:rFonts w:ascii="Arial" w:eastAsia="Times New Roman" w:hAnsi="Arial" w:cs="Arial"/>
          <w:b/>
          <w:bCs/>
          <w:sz w:val="28"/>
          <w:szCs w:val="28"/>
          <w:lang w:val="es-MX" w:eastAsia="es-MX"/>
        </w:rPr>
        <w:t>2.1 Título Quinto: De la Plataforma</w:t>
      </w:r>
    </w:p>
    <w:p w14:paraId="5B6F7823" w14:textId="77777777" w:rsidR="00EE1D3D" w:rsidRPr="00EE1D3D" w:rsidRDefault="00EE1D3D" w:rsidP="00EE1D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EE1D3D">
        <w:rPr>
          <w:rFonts w:ascii="Arial" w:eastAsia="Times New Roman" w:hAnsi="Arial" w:cs="Arial"/>
          <w:sz w:val="24"/>
          <w:szCs w:val="24"/>
          <w:lang w:val="es-MX" w:eastAsia="es-MX"/>
        </w:rPr>
        <w:t>El artículo 74 define a la Plataforma como una herramienta electrónica oficial y transaccional para llevar procedimientos de contratación y administración de contratos; además, establece que será de consulta gratuita y el medio único para dichos procedimientos, salvo casos excepcionales y justificados autorizados por la Secretaría. También ordena emitir reglas de operación y controles para garantizar inalterabilidad y conservación de la información.</w:t>
      </w:r>
    </w:p>
    <w:p w14:paraId="5E60CD40" w14:textId="77777777" w:rsidR="00EE1D3D" w:rsidRPr="00EE1D3D" w:rsidRDefault="00EE1D3D" w:rsidP="00EE1D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EE1D3D">
        <w:rPr>
          <w:rFonts w:ascii="Arial" w:eastAsia="Times New Roman" w:hAnsi="Arial" w:cs="Arial"/>
          <w:sz w:val="24"/>
          <w:szCs w:val="24"/>
          <w:lang w:val="es-MX" w:eastAsia="es-MX"/>
        </w:rPr>
        <w:t>El artículo 74 Bis precisa que la Plataforma concentra información clave: programas anuales, registro de personas físicas y morales, sancionados, convocatorias, actas, informes de testigos sociales, contratos, convenios modificatorios, adjudicaciones directas, resoluciones firmes y avisos, entre otros. Asimismo, las dependencias y entidades son responsables de la información que cargan o generan.</w:t>
      </w:r>
    </w:p>
    <w:p w14:paraId="42AEF7BA" w14:textId="77777777" w:rsidR="00EE1D3D" w:rsidRPr="00EE1D3D" w:rsidRDefault="00EE1D3D" w:rsidP="00EE1D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EE1D3D">
        <w:rPr>
          <w:rFonts w:ascii="Arial" w:eastAsia="Times New Roman" w:hAnsi="Arial" w:cs="Arial"/>
          <w:sz w:val="24"/>
          <w:szCs w:val="24"/>
          <w:lang w:val="es-MX" w:eastAsia="es-MX"/>
        </w:rPr>
        <w:t xml:space="preserve">En los artículos 74 Ter y 74 </w:t>
      </w:r>
      <w:proofErr w:type="spellStart"/>
      <w:r w:rsidRPr="00EE1D3D">
        <w:rPr>
          <w:rFonts w:ascii="Arial" w:eastAsia="Times New Roman" w:hAnsi="Arial" w:cs="Arial"/>
          <w:sz w:val="24"/>
          <w:szCs w:val="24"/>
          <w:lang w:val="es-MX" w:eastAsia="es-MX"/>
        </w:rPr>
        <w:t>Quáter</w:t>
      </w:r>
      <w:proofErr w:type="spellEnd"/>
      <w:r w:rsidRPr="00EE1D3D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se regula el acceso y la validez jurídica: nacionales usan Firma Electrónica Avanzada y, en extranjeros, el mecanismo de identificación lo genera la propia Plataforma. Las notificaciones electrónicas tienen efectos de notificación personal y valor jurídico/probatorio equivalente al documento tradicional.</w:t>
      </w:r>
    </w:p>
    <w:p w14:paraId="4D626E7D" w14:textId="77777777" w:rsidR="00EE1D3D" w:rsidRPr="00EE1D3D" w:rsidRDefault="00EE1D3D" w:rsidP="00EE1D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EE1D3D">
        <w:rPr>
          <w:rFonts w:ascii="Arial" w:eastAsia="Times New Roman" w:hAnsi="Arial" w:cs="Arial"/>
          <w:sz w:val="24"/>
          <w:szCs w:val="24"/>
          <w:lang w:val="es-MX" w:eastAsia="es-MX"/>
        </w:rPr>
        <w:t xml:space="preserve">El artículo 74 Quinquies fija los fines de la Plataforma: política general de contrataciones, transparencia, estandarización, fuente única de información y mayor participación de contratistas. El 74 </w:t>
      </w:r>
      <w:proofErr w:type="spellStart"/>
      <w:r w:rsidRPr="00EE1D3D">
        <w:rPr>
          <w:rFonts w:ascii="Arial" w:eastAsia="Times New Roman" w:hAnsi="Arial" w:cs="Arial"/>
          <w:sz w:val="24"/>
          <w:szCs w:val="24"/>
          <w:lang w:val="es-MX" w:eastAsia="es-MX"/>
        </w:rPr>
        <w:t>Sexies</w:t>
      </w:r>
      <w:proofErr w:type="spellEnd"/>
      <w:r w:rsidRPr="00EE1D3D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agrega que la información debe verificarse y actualizarse al menos cada mes y conservar evidencia electrónica por al menos cinco años.</w:t>
      </w:r>
    </w:p>
    <w:p w14:paraId="54359C08" w14:textId="77777777" w:rsidR="00EE1D3D" w:rsidRPr="00EE1D3D" w:rsidRDefault="00EE1D3D" w:rsidP="00EE1D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EE1D3D">
        <w:rPr>
          <w:rFonts w:ascii="Arial" w:eastAsia="Times New Roman" w:hAnsi="Arial" w:cs="Arial"/>
          <w:sz w:val="24"/>
          <w:szCs w:val="24"/>
          <w:lang w:val="es-MX" w:eastAsia="es-MX"/>
        </w:rPr>
        <w:lastRenderedPageBreak/>
        <w:t xml:space="preserve">Finalmente, el 74 </w:t>
      </w:r>
      <w:proofErr w:type="spellStart"/>
      <w:r w:rsidRPr="00EE1D3D">
        <w:rPr>
          <w:rFonts w:ascii="Arial" w:eastAsia="Times New Roman" w:hAnsi="Arial" w:cs="Arial"/>
          <w:sz w:val="24"/>
          <w:szCs w:val="24"/>
          <w:lang w:val="es-MX" w:eastAsia="es-MX"/>
        </w:rPr>
        <w:t>Septies</w:t>
      </w:r>
      <w:proofErr w:type="spellEnd"/>
      <w:r w:rsidRPr="00EE1D3D">
        <w:rPr>
          <w:rFonts w:ascii="Arial" w:eastAsia="Times New Roman" w:hAnsi="Arial" w:cs="Arial"/>
          <w:sz w:val="24"/>
          <w:szCs w:val="24"/>
          <w:lang w:val="es-MX" w:eastAsia="es-MX"/>
        </w:rPr>
        <w:t xml:space="preserve"> crea el registro electrónico de personas físicas y morales para participar en contrataciones; exige inscripción y actualización, y señala que es permanente y público (salvo datos reservados/confidenciales), con efectos declarativos.</w:t>
      </w:r>
    </w:p>
    <w:p w14:paraId="27AFCAF4" w14:textId="77777777" w:rsidR="00EE1D3D" w:rsidRPr="00EE1D3D" w:rsidRDefault="00EE1D3D" w:rsidP="00EE1D3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val="es-MX" w:eastAsia="es-MX"/>
        </w:rPr>
      </w:pPr>
      <w:r w:rsidRPr="00EE1D3D">
        <w:rPr>
          <w:rFonts w:ascii="Arial" w:eastAsia="Times New Roman" w:hAnsi="Arial" w:cs="Arial"/>
          <w:b/>
          <w:bCs/>
          <w:sz w:val="28"/>
          <w:szCs w:val="28"/>
          <w:lang w:val="es-MX" w:eastAsia="es-MX"/>
        </w:rPr>
        <w:t>2.2 Título Sexto: De las Infracciones y Sanciones</w:t>
      </w:r>
    </w:p>
    <w:p w14:paraId="1E09C9A3" w14:textId="77777777" w:rsidR="00EE1D3D" w:rsidRPr="00EE1D3D" w:rsidRDefault="00EE1D3D" w:rsidP="00EE1D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EE1D3D">
        <w:rPr>
          <w:rFonts w:ascii="Arial" w:eastAsia="Times New Roman" w:hAnsi="Arial" w:cs="Arial"/>
          <w:sz w:val="24"/>
          <w:szCs w:val="24"/>
          <w:lang w:val="es-MX" w:eastAsia="es-MX"/>
        </w:rPr>
        <w:t>El artículo 77 establece una multa para licitantes, cotizantes o contratistas infractores de entre 50 y 3,000 veces la UMA diaria elevada al mes.</w:t>
      </w:r>
    </w:p>
    <w:p w14:paraId="78892144" w14:textId="77777777" w:rsidR="00EE1D3D" w:rsidRPr="00EE1D3D" w:rsidRDefault="00EE1D3D" w:rsidP="00EE1D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EE1D3D">
        <w:rPr>
          <w:rFonts w:ascii="Arial" w:eastAsia="Times New Roman" w:hAnsi="Arial" w:cs="Arial"/>
          <w:sz w:val="24"/>
          <w:szCs w:val="24"/>
          <w:lang w:val="es-MX" w:eastAsia="es-MX"/>
        </w:rPr>
        <w:t>El artículo 78 prevé, además de la multa, la inhabilitación temporal para participar o contratar (en LOPSRM, LAASSP y APP) cuando se actualizan supuestos como: no formalizar contrato adjudicado, rescisiones reiteradas, incumplimiento grave, información falsa o mala fe, actuar por interpósita persona y otros supuestos legales.</w:t>
      </w:r>
    </w:p>
    <w:p w14:paraId="3FCE309A" w14:textId="77777777" w:rsidR="00EE1D3D" w:rsidRPr="00EE1D3D" w:rsidRDefault="00EE1D3D" w:rsidP="00EE1D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EE1D3D">
        <w:rPr>
          <w:rFonts w:ascii="Arial" w:eastAsia="Times New Roman" w:hAnsi="Arial" w:cs="Arial"/>
          <w:sz w:val="24"/>
          <w:szCs w:val="24"/>
          <w:lang w:val="es-MX" w:eastAsia="es-MX"/>
        </w:rPr>
        <w:t>La inhabilitación puede ir de 3 meses a 7 años; inicia tras publicación en DOF y registro en Plataforma. También puede aumentar hasta en un tercio en ciertos casos con afectación o riesgo a salud, educación, seguridad social o programas prioritarios/proyectos estratégicos. Si no se paga la multa, la inhabilitación permanece hasta cubrirla.</w:t>
      </w:r>
    </w:p>
    <w:p w14:paraId="642B6A5F" w14:textId="77777777" w:rsidR="00EE1D3D" w:rsidRPr="00EE1D3D" w:rsidRDefault="00EE1D3D" w:rsidP="00EE1D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EE1D3D">
        <w:rPr>
          <w:rFonts w:ascii="Arial" w:eastAsia="Times New Roman" w:hAnsi="Arial" w:cs="Arial"/>
          <w:sz w:val="24"/>
          <w:szCs w:val="24"/>
          <w:lang w:val="es-MX" w:eastAsia="es-MX"/>
        </w:rPr>
        <w:t xml:space="preserve">La ley ordena que dependencias y entidades remitan evidencia de infracción en 15 días naturales desde que tengan conocimiento. Para imponer sanciones, la Secretaría considera daños/perjuicios, intencionalidad, gravedad y condiciones del infractor, siguiendo la Ley Federal de Procedimiento Administrativo (con supletoriedad del CCF y </w:t>
      </w:r>
      <w:proofErr w:type="spellStart"/>
      <w:r w:rsidRPr="00EE1D3D">
        <w:rPr>
          <w:rFonts w:ascii="Arial" w:eastAsia="Times New Roman" w:hAnsi="Arial" w:cs="Arial"/>
          <w:sz w:val="24"/>
          <w:szCs w:val="24"/>
          <w:lang w:val="es-MX" w:eastAsia="es-MX"/>
        </w:rPr>
        <w:t>CNPCyF</w:t>
      </w:r>
      <w:proofErr w:type="spellEnd"/>
      <w:r w:rsidRPr="00EE1D3D">
        <w:rPr>
          <w:rFonts w:ascii="Arial" w:eastAsia="Times New Roman" w:hAnsi="Arial" w:cs="Arial"/>
          <w:sz w:val="24"/>
          <w:szCs w:val="24"/>
          <w:lang w:val="es-MX" w:eastAsia="es-MX"/>
        </w:rPr>
        <w:t>).</w:t>
      </w:r>
    </w:p>
    <w:p w14:paraId="709CA3F6" w14:textId="77777777" w:rsidR="00EE1D3D" w:rsidRPr="00EE1D3D" w:rsidRDefault="00EE1D3D" w:rsidP="00EE1D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EE1D3D">
        <w:rPr>
          <w:rFonts w:ascii="Arial" w:eastAsia="Times New Roman" w:hAnsi="Arial" w:cs="Arial"/>
          <w:sz w:val="24"/>
          <w:szCs w:val="24"/>
          <w:lang w:val="es-MX" w:eastAsia="es-MX"/>
        </w:rPr>
        <w:t>Respecto a personas servidoras públicas, aplica la Ley General de Responsabilidades Administrativas; además, las responsabilidades administrativas son independientes de las civiles o penales. El artículo 82 excluye sanción por fuerza mayor, caso fortuito o cumplimiento espontáneo real (con excepciones expresas).</w:t>
      </w:r>
    </w:p>
    <w:p w14:paraId="444B1252" w14:textId="77777777" w:rsidR="00EE1D3D" w:rsidRPr="00EE1D3D" w:rsidRDefault="00EE1D3D" w:rsidP="00EE1D3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val="es-MX" w:eastAsia="es-MX"/>
        </w:rPr>
      </w:pPr>
      <w:r w:rsidRPr="00EE1D3D">
        <w:rPr>
          <w:rFonts w:ascii="Arial" w:eastAsia="Times New Roman" w:hAnsi="Arial" w:cs="Arial"/>
          <w:b/>
          <w:bCs/>
          <w:sz w:val="32"/>
          <w:szCs w:val="32"/>
          <w:lang w:val="es-MX" w:eastAsia="es-MX"/>
        </w:rPr>
        <w:t>3. Relación entre ambos títulos (análisis)</w:t>
      </w:r>
    </w:p>
    <w:p w14:paraId="0F0ABAAB" w14:textId="77777777" w:rsidR="00EE1D3D" w:rsidRPr="00EE1D3D" w:rsidRDefault="00EE1D3D" w:rsidP="00EE1D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EE1D3D">
        <w:rPr>
          <w:rFonts w:ascii="Arial" w:eastAsia="Times New Roman" w:hAnsi="Arial" w:cs="Arial"/>
          <w:sz w:val="24"/>
          <w:szCs w:val="24"/>
          <w:lang w:val="es-MX" w:eastAsia="es-MX"/>
        </w:rPr>
        <w:t xml:space="preserve">Estos títulos funcionan como un </w:t>
      </w:r>
      <w:r w:rsidRPr="00EE1D3D">
        <w:rPr>
          <w:rFonts w:ascii="Arial" w:eastAsia="Times New Roman" w:hAnsi="Arial" w:cs="Arial"/>
          <w:b/>
          <w:bCs/>
          <w:sz w:val="24"/>
          <w:szCs w:val="24"/>
          <w:lang w:val="es-MX" w:eastAsia="es-MX"/>
        </w:rPr>
        <w:t>sistema integral de control</w:t>
      </w:r>
      <w:r w:rsidRPr="00EE1D3D">
        <w:rPr>
          <w:rFonts w:ascii="Arial" w:eastAsia="Times New Roman" w:hAnsi="Arial" w:cs="Arial"/>
          <w:sz w:val="24"/>
          <w:szCs w:val="24"/>
          <w:lang w:val="es-MX" w:eastAsia="es-MX"/>
        </w:rPr>
        <w:t>: el Título Quinto digitaliza y centraliza información (actos, contratos, avisos, resoluciones), mientras que el Título Sexto usa ese ecosistema para sancionar conductas infractoras con mayor trazabilidad y evidencia documental. En términos prácticos, la Plataforma no solo administra procedimientos, también fortalece la capacidad de supervisión y ejecución del régimen sancionador.</w:t>
      </w:r>
    </w:p>
    <w:p w14:paraId="29A7F4A9" w14:textId="77777777" w:rsidR="00EE1D3D" w:rsidRPr="00EE1D3D" w:rsidRDefault="00EE1D3D" w:rsidP="00EE1D3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val="es-MX" w:eastAsia="es-MX"/>
        </w:rPr>
      </w:pPr>
      <w:r w:rsidRPr="00EE1D3D">
        <w:rPr>
          <w:rFonts w:ascii="Arial" w:eastAsia="Times New Roman" w:hAnsi="Arial" w:cs="Arial"/>
          <w:b/>
          <w:bCs/>
          <w:sz w:val="32"/>
          <w:szCs w:val="32"/>
          <w:lang w:val="es-MX" w:eastAsia="es-MX"/>
        </w:rPr>
        <w:t>4. Consideración de implementación (transitorios)</w:t>
      </w:r>
    </w:p>
    <w:p w14:paraId="2B61B643" w14:textId="77777777" w:rsidR="00EE1D3D" w:rsidRPr="00EE1D3D" w:rsidRDefault="00EE1D3D" w:rsidP="00EE1D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EE1D3D">
        <w:rPr>
          <w:rFonts w:ascii="Arial" w:eastAsia="Times New Roman" w:hAnsi="Arial" w:cs="Arial"/>
          <w:sz w:val="24"/>
          <w:szCs w:val="24"/>
          <w:lang w:val="es-MX" w:eastAsia="es-MX"/>
        </w:rPr>
        <w:lastRenderedPageBreak/>
        <w:t>El decreto prevé que, mientras entren en operación total los módulos de la Plataforma Digital, continúe utilizándose CompraNet conforme a la normatividad vigente. También establece plazos de implementación (hasta 30 meses, con módulos funcionales en 18 meses).</w:t>
      </w:r>
    </w:p>
    <w:p w14:paraId="5E99EB06" w14:textId="77777777" w:rsidR="00EE1D3D" w:rsidRPr="00EE1D3D" w:rsidRDefault="00EE1D3D" w:rsidP="00EE1D3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val="es-MX" w:eastAsia="es-MX"/>
        </w:rPr>
      </w:pPr>
      <w:r w:rsidRPr="00EE1D3D">
        <w:rPr>
          <w:rFonts w:ascii="Arial" w:eastAsia="Times New Roman" w:hAnsi="Arial" w:cs="Arial"/>
          <w:b/>
          <w:bCs/>
          <w:sz w:val="32"/>
          <w:szCs w:val="32"/>
          <w:lang w:val="es-MX" w:eastAsia="es-MX"/>
        </w:rPr>
        <w:t>5. Conclusión</w:t>
      </w:r>
    </w:p>
    <w:p w14:paraId="51DA3858" w14:textId="77777777" w:rsidR="00EE1D3D" w:rsidRPr="00EE1D3D" w:rsidRDefault="00EE1D3D" w:rsidP="00EE1D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EE1D3D">
        <w:rPr>
          <w:rFonts w:ascii="Arial" w:eastAsia="Times New Roman" w:hAnsi="Arial" w:cs="Arial"/>
          <w:sz w:val="24"/>
          <w:szCs w:val="24"/>
          <w:lang w:val="es-MX" w:eastAsia="es-MX"/>
        </w:rPr>
        <w:t>El Título Quinto y el Título Sexto reflejan una evolución del modelo de contratación pública hacia un esquema más digital, verificable y exigente en cumplimiento. La Plataforma concentra y formaliza la información crítica del ciclo de contratación; el régimen de infracciones y sanciones, por su parte, establece consecuencias claras y graduales para conductas que afecten legalidad, competencia y confianza pública. En conjunto, ambos títulos promueven transparencia operativa y responsabilidad jurídica.</w:t>
      </w:r>
    </w:p>
    <w:p w14:paraId="1ED553A3" w14:textId="25C4A0CE" w:rsidR="00A31E9D" w:rsidRPr="00EE1D3D" w:rsidRDefault="00A31E9D" w:rsidP="00EE1D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</w:p>
    <w:sectPr w:rsidR="00A31E9D" w:rsidRPr="00EE1D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6720423">
    <w:abstractNumId w:val="8"/>
  </w:num>
  <w:num w:numId="2" w16cid:durableId="2126003667">
    <w:abstractNumId w:val="6"/>
  </w:num>
  <w:num w:numId="3" w16cid:durableId="1553811650">
    <w:abstractNumId w:val="5"/>
  </w:num>
  <w:num w:numId="4" w16cid:durableId="1816986255">
    <w:abstractNumId w:val="4"/>
  </w:num>
  <w:num w:numId="5" w16cid:durableId="448473682">
    <w:abstractNumId w:val="7"/>
  </w:num>
  <w:num w:numId="6" w16cid:durableId="991450687">
    <w:abstractNumId w:val="3"/>
  </w:num>
  <w:num w:numId="7" w16cid:durableId="213078774">
    <w:abstractNumId w:val="2"/>
  </w:num>
  <w:num w:numId="8" w16cid:durableId="874343551">
    <w:abstractNumId w:val="1"/>
  </w:num>
  <w:num w:numId="9" w16cid:durableId="386028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F78"/>
    <w:rsid w:val="00034616"/>
    <w:rsid w:val="0006063C"/>
    <w:rsid w:val="0015074B"/>
    <w:rsid w:val="0029639D"/>
    <w:rsid w:val="00326F90"/>
    <w:rsid w:val="00940DE3"/>
    <w:rsid w:val="00A31E9D"/>
    <w:rsid w:val="00AA1D8D"/>
    <w:rsid w:val="00B47730"/>
    <w:rsid w:val="00CB0664"/>
    <w:rsid w:val="00EE1D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069CE5"/>
  <w14:defaultImageDpi w14:val="300"/>
  <w15:docId w15:val="{AFE826F0-3B98-4329-8E53-BFC4303E8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802</Words>
  <Characters>4412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Juárez Pineda</cp:lastModifiedBy>
  <cp:revision>2</cp:revision>
  <dcterms:created xsi:type="dcterms:W3CDTF">2013-12-23T23:15:00Z</dcterms:created>
  <dcterms:modified xsi:type="dcterms:W3CDTF">2026-02-08T01:28:00Z</dcterms:modified>
  <cp:category/>
</cp:coreProperties>
</file>