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right"/>
      </w:pPr>
    </w:p>
    <w:p w14:paraId="02000000">
      <w:pPr>
        <w:ind/>
        <w:jc w:val="right"/>
      </w:pPr>
    </w:p>
    <w:p w14:paraId="03000000">
      <w:pPr>
        <w:ind/>
        <w:jc w:val="right"/>
      </w:pPr>
    </w:p>
    <w:p w14:paraId="04000000">
      <w:pPr>
        <w:ind/>
        <w:jc w:val="right"/>
      </w:pPr>
    </w:p>
    <w:p w14:paraId="05000000">
      <w:pPr>
        <w:ind/>
        <w:jc w:val="right"/>
      </w:pPr>
    </w:p>
    <w:p w14:paraId="06000000">
      <w:pPr>
        <w:ind/>
        <w:jc w:val="right"/>
      </w:pPr>
    </w:p>
    <w:p w14:paraId="07000000">
      <w:pPr>
        <w:ind/>
        <w:jc w:val="center"/>
      </w:pPr>
      <w:r>
        <w:t>ПОЯСНИТЕЛЬНОЕ ПИСЬМО</w:t>
      </w:r>
    </w:p>
    <w:p w14:paraId="08000000">
      <w:pPr>
        <w:ind/>
        <w:jc w:val="both"/>
      </w:pPr>
      <w:r>
        <w:tab/>
      </w:r>
    </w:p>
    <w:p w14:paraId="09000000">
      <w:pPr>
        <w:ind/>
        <w:jc w:val="both"/>
      </w:pPr>
    </w:p>
    <w:p w14:paraId="0A000000">
      <w:pPr>
        <w:ind/>
        <w:jc w:val="both"/>
      </w:pPr>
      <w:r>
        <w:t xml:space="preserve">Я, </w:t>
      </w:r>
      <w:r>
        <w:t>Мурашкин Данил Владимирович</w:t>
      </w:r>
      <w:r>
        <w:t>, уд.</w:t>
      </w:r>
      <w:r>
        <w:t xml:space="preserve"> </w:t>
      </w:r>
      <w:r>
        <w:t>л</w:t>
      </w:r>
      <w:r>
        <w:t>ичности</w:t>
      </w:r>
      <w:r>
        <w:t xml:space="preserve"> №049977041</w:t>
      </w:r>
      <w:r>
        <w:t xml:space="preserve">, </w:t>
      </w:r>
      <w:r>
        <w:t>подтверждаю</w:t>
      </w:r>
      <w:r>
        <w:t xml:space="preserve">, что груз, прибывший по линии </w:t>
      </w:r>
      <w:r>
        <w:t>FedEx</w:t>
      </w:r>
      <w:r>
        <w:t xml:space="preserve">, под номером накладной </w:t>
      </w:r>
      <w:r>
        <w:t>57250336309</w:t>
      </w:r>
      <w:r>
        <w:t>, является моей собственностью и заявляю, что содержимое груза будет использовано мною только в личных целях.</w:t>
      </w:r>
    </w:p>
    <w:p w14:paraId="0B000000">
      <w:pPr>
        <w:ind/>
        <w:jc w:val="both"/>
      </w:pPr>
    </w:p>
    <w:p w14:paraId="0C000000">
      <w:pPr>
        <w:ind/>
        <w:jc w:val="both"/>
      </w:pPr>
      <w:r>
        <w:t>По поводу содержимого поясняю:</w:t>
      </w:r>
    </w:p>
    <w:p w14:paraId="0D000000">
      <w:pPr>
        <w:numPr>
          <w:ilvl w:val="0"/>
          <w:numId w:val="1"/>
        </w:numPr>
        <w:ind/>
        <w:jc w:val="both"/>
      </w:pPr>
      <w:r>
        <w:t>Груз состоит из:</w:t>
      </w:r>
    </w:p>
    <w:p w14:paraId="0E000000">
      <w:pPr>
        <w:numPr>
          <w:ilvl w:val="1"/>
          <w:numId w:val="2"/>
        </w:numPr>
        <w:ind/>
        <w:jc w:val="both"/>
      </w:pPr>
      <w:r>
        <w:t>Универсальный измерительный прибор с функциями л</w:t>
      </w:r>
      <w:r>
        <w:t>огического анализатора</w:t>
      </w:r>
      <w:r>
        <w:t>, генератора и осциллографа Analog Discovery 3</w:t>
      </w:r>
      <w:r>
        <w:t xml:space="preserve"> </w:t>
      </w:r>
      <w:r>
        <w:t>– 1</w:t>
      </w:r>
      <w:r>
        <w:t>шт</w:t>
      </w:r>
    </w:p>
    <w:p w14:paraId="0F000000">
      <w:pPr>
        <w:ind w:firstLine="0" w:left="731"/>
        <w:jc w:val="both"/>
      </w:pPr>
    </w:p>
    <w:p w14:paraId="10000000">
      <w:pPr>
        <w:numPr>
          <w:ilvl w:val="0"/>
          <w:numId w:val="1"/>
        </w:numPr>
        <w:ind/>
        <w:jc w:val="both"/>
      </w:pPr>
      <w:r>
        <w:t xml:space="preserve">Поскольку я являюсь радио любителем, то эпизодически приходится покупать и детали и инструменты, в том числе и комплекты Arduino. К сожалению магазины в Казахстане не предлагают недорогих измерительных инструментов цены начинаются от 500000тг. </w:t>
      </w:r>
      <w:r>
        <w:t>Цель использования, в отладке датчиков для робота «Сумо» данные соревнования регулярно проводятся в Казахстане.</w:t>
      </w:r>
    </w:p>
    <w:p w14:paraId="11000000">
      <w:pPr>
        <w:ind w:firstLine="0" w:left="720"/>
        <w:jc w:val="both"/>
      </w:pPr>
    </w:p>
    <w:p w14:paraId="12000000">
      <w:pPr>
        <w:numPr>
          <w:ilvl w:val="0"/>
          <w:numId w:val="1"/>
        </w:numPr>
        <w:ind/>
        <w:jc w:val="both"/>
      </w:pPr>
      <w:r>
        <w:t xml:space="preserve">Данный груз прибыл в результате моей покупки на веб сайте </w:t>
      </w:r>
      <w:r>
        <w:t>https://digilent.com</w:t>
      </w:r>
      <w:r>
        <w:t>.</w:t>
      </w:r>
    </w:p>
    <w:p w14:paraId="13000000">
      <w:pPr>
        <w:ind/>
        <w:jc w:val="both"/>
      </w:pPr>
    </w:p>
    <w:p w14:paraId="14000000">
      <w:pPr>
        <w:ind/>
        <w:jc w:val="both"/>
      </w:pPr>
      <w:r>
        <w:t xml:space="preserve">Настоящим подтверждаю, что оповещен о том, что, согласно Соглашению о порядке перемещения физическими лицами товаров для личного пользования через таможенную границу таможенного союза и совершения операций, связанных с их выпуском (далее – Соглашение), если под видом товаров для личного пользования заявлены и выпущены товары, ввезенные с целью их использования в предпринимательской деятельности, то такие товары считаются незаконно перемещенными через таможенную границу, и к таким товарам после их выпуска применяются нормы Таможенного кодекса таможенного союза без учета особенностей, установленных главой 49 Кодекса, и положений Соглашения. </w:t>
      </w:r>
    </w:p>
    <w:p w14:paraId="15000000">
      <w:r>
        <w:br w:type="page"/>
      </w:r>
    </w:p>
    <w:p w14:paraId="16000000">
      <w:r>
        <w:t>Приложение 1</w:t>
      </w:r>
      <w:r>
        <w:t>. Техническое описание груза.</w:t>
      </w:r>
    </w:p>
    <w:p w14:paraId="17000000"/>
    <w:p w14:paraId="18000000">
      <w:pPr>
        <w:ind w:firstLine="0" w:left="-426"/>
      </w:pPr>
      <w:r>
        <w:drawing>
          <wp:inline>
            <wp:extent cx="6152515" cy="3373629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152515" cy="33736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ind w:firstLine="0" w:left="-426"/>
      </w:pPr>
    </w:p>
    <w:p w14:paraId="1A000000">
      <w:r>
        <w:t>Универсальный измерительный прибор с функциями л</w:t>
      </w:r>
      <w:r>
        <w:t>огического анализатора</w:t>
      </w:r>
      <w:r>
        <w:t xml:space="preserve">, генератора и осциллографа Analog Discovery 3 можно использовать для измерения и симуляции сигналов со скоростью до  </w:t>
      </w:r>
      <w:r>
        <w:t>125Мвыб/с</w:t>
      </w:r>
      <w:r>
        <w:t xml:space="preserve"> при подключении через USB type-C и с использованием программы от Digilent</w:t>
      </w:r>
    </w:p>
    <w:p w14:paraId="1B000000"/>
    <w:p w14:paraId="1C000000">
      <w:r>
        <w:t>Осциллограф - l</w:t>
      </w:r>
      <w:r>
        <w:t>ва дифференциальных канала с разрешением 14 бит, скоростью до 125Мвыб/с на канал, входным диапазоном +/-25 В, полосой пропускания более 30 МГц с адаптером BNC</w:t>
      </w:r>
    </w:p>
    <w:p w14:paraId="1D000000"/>
    <w:p w14:paraId="1E000000">
      <w:r>
        <w:t>Генератор сигналов - д</w:t>
      </w:r>
      <w:r>
        <w:t xml:space="preserve">ва канала с разрешением 14 бит, скоростью до 125 MS/s на канал, выходным диапазоном +/-5 В, полосой пропускания 12 МГц. </w:t>
      </w:r>
      <w:r>
        <w:t>Стандартные формы сигналов, сигналы с амплитудной и частотной модуляцией, прямое воспроизведение с аналоговых входов, пользовательские формы сигналов и многое другое.</w:t>
      </w:r>
    </w:p>
    <w:p w14:paraId="1F000000"/>
    <w:p w14:paraId="20000000">
      <w:r>
        <w:t xml:space="preserve">Логический анализатор и генератор шаблонов - </w:t>
      </w:r>
      <w:r>
        <w:t xml:space="preserve">16 цифровых каналов ввода/вывода со скоростью до 125 Мвыб/с на канал. </w:t>
      </w:r>
      <w:r>
        <w:t>Индивидуально конфигурируемые цифровые входы и выходы 3,3 В, входы, допускающие напряжение 5 В.</w:t>
      </w:r>
    </w:p>
    <w:p w14:paraId="21000000"/>
    <w:p w14:paraId="22000000">
      <w:r>
        <w:t xml:space="preserve">Более полное описание на сайте </w:t>
      </w:r>
      <w:r>
        <w:t>https://digilent.com/shop/analog-discovery-3/</w:t>
      </w:r>
      <w:r>
        <w:br w:type="page"/>
      </w:r>
      <w:r>
        <w:t>Приложение 2. Удостоверение личности.</w:t>
      </w:r>
    </w:p>
    <w:p w14:paraId="23000000">
      <w:pPr>
        <w:ind w:firstLine="709" w:left="0"/>
      </w:pPr>
    </w:p>
    <w:p w14:paraId="24000000">
      <w:pPr>
        <w:ind/>
        <w:jc w:val="center"/>
      </w:pPr>
      <w:r>
        <w:drawing>
          <wp:inline>
            <wp:extent cx="6152515" cy="7832115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152515" cy="78321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ind/>
        <w:jc w:val="center"/>
      </w:pPr>
    </w:p>
    <w:p w14:paraId="26000000">
      <w:r>
        <w:br w:type="page"/>
      </w:r>
      <w:r>
        <w:t>Приложение 3</w:t>
      </w:r>
      <w:r>
        <w:t>.1.</w:t>
      </w:r>
      <w:r>
        <w:t xml:space="preserve"> </w:t>
      </w:r>
      <w:r>
        <w:t>Счет</w:t>
      </w:r>
      <w:r>
        <w:t xml:space="preserve"> </w:t>
      </w:r>
      <w:r>
        <w:t>за оплату прибора на веб сайте</w:t>
      </w:r>
      <w:r>
        <w:t xml:space="preserve">. </w:t>
      </w:r>
    </w:p>
    <w:p w14:paraId="27000000"/>
    <w:p w14:paraId="28000000">
      <w:pPr>
        <w:ind/>
        <w:jc w:val="center"/>
      </w:pPr>
      <w:r>
        <w:drawing>
          <wp:inline>
            <wp:extent cx="5362574" cy="7467599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362574" cy="74675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ind/>
        <w:jc w:val="center"/>
      </w:pPr>
    </w:p>
    <w:p w14:paraId="2A000000">
      <w:pPr>
        <w:ind/>
        <w:jc w:val="center"/>
      </w:pPr>
    </w:p>
    <w:p w14:paraId="2B000000">
      <w:r>
        <w:br w:type="page"/>
      </w:r>
      <w:r>
        <w:t>Приложение 3</w:t>
      </w:r>
      <w:r>
        <w:t>.2. Выписка с личной банковской карты банка Центр Кредит.</w:t>
      </w:r>
    </w:p>
    <w:p w14:paraId="2C000000">
      <w:pPr>
        <w:ind w:firstLine="0" w:left="-709"/>
        <w:jc w:val="center"/>
      </w:pPr>
    </w:p>
    <w:p w14:paraId="2D000000">
      <w:pPr>
        <w:ind w:firstLine="0" w:left="-709"/>
        <w:jc w:val="center"/>
      </w:pPr>
      <w:r>
        <w:drawing>
          <wp:inline>
            <wp:extent cx="6152515" cy="6742298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152515" cy="67422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/>
    <w:sectPr>
      <w:pgSz w:h="15840" w:orient="portrait" w:w="12240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lowerLetter"/>
      <w:lvlText w:val="%2)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2160" w:val="left"/>
        </w:tabs>
        <w:ind w:hanging="18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4320" w:val="left"/>
        </w:tabs>
        <w:ind w:hanging="18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6480" w:val="left"/>
        </w:tabs>
        <w:ind w:hanging="180" w:left="6480"/>
      </w:pPr>
    </w:lvl>
  </w:abstractNum>
  <w:abstractNum w:abstractNumId="1">
    <w:lvl w:ilvl="0">
      <w:start w:val="1"/>
      <w:numFmt w:val="decimal"/>
      <w:lvlText w:val="%1)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2160" w:val="left"/>
        </w:tabs>
        <w:ind w:hanging="18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4320" w:val="left"/>
        </w:tabs>
        <w:ind w:hanging="18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6480" w:val="left"/>
        </w:tabs>
        <w:ind w:hanging="180" w:left="6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rPr>
      <w:sz w:val="24"/>
    </w:rPr>
  </w:style>
  <w:style w:default="1" w:styleId="Style_1_ch" w:type="character">
    <w:name w:val="Normal"/>
    <w:link w:val="Style_1"/>
    <w:rPr>
      <w:sz w:val="24"/>
    </w:rPr>
  </w:style>
  <w:style w:styleId="Style_2" w:type="paragraph">
    <w:name w:val="Normal (Web)"/>
    <w:basedOn w:val="Style_1"/>
    <w:link w:val="Style_2_ch"/>
    <w:pPr>
      <w:spacing w:afterAutospacing="on" w:beforeAutospacing="on"/>
      <w:ind/>
    </w:pPr>
  </w:style>
  <w:style w:styleId="Style_2_ch" w:type="character">
    <w:name w:val="Normal (Web)"/>
    <w:basedOn w:val="Style_1_ch"/>
    <w:link w:val="Style_2"/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Default Paragraph Font"/>
    <w:link w:val="Style_10_ch"/>
  </w:style>
  <w:style w:styleId="Style_10_ch" w:type="character">
    <w:name w:val="Default Paragraph Font"/>
    <w:link w:val="Style_10"/>
  </w:style>
  <w:style w:styleId="Style_11" w:type="paragraph">
    <w:name w:val="heading 1"/>
    <w:next w:val="Style_1"/>
    <w:link w:val="Style_1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1_ch" w:type="character">
    <w:name w:val="heading 1"/>
    <w:link w:val="Style_11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14" w:type="paragraph">
    <w:name w:val="toc 1"/>
    <w:next w:val="Style_1"/>
    <w:link w:val="Style_14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4_ch" w:type="character">
    <w:name w:val="toc 1"/>
    <w:link w:val="Style_14"/>
    <w:rPr>
      <w:rFonts w:ascii="XO Thames" w:hAnsi="XO Thames"/>
      <w:b w:val="1"/>
      <w:sz w:val="28"/>
    </w:rPr>
  </w:style>
  <w:style w:styleId="Style_15" w:type="paragraph">
    <w:name w:val="Header and Footer"/>
    <w:link w:val="Style_15_ch"/>
    <w:pPr>
      <w:spacing w:line="240" w:lineRule="auto"/>
      <w:ind/>
      <w:jc w:val="both"/>
    </w:pPr>
    <w:rPr>
      <w:rFonts w:ascii="XO Thames" w:hAnsi="XO Thames"/>
      <w:sz w:val="20"/>
    </w:rPr>
  </w:style>
  <w:style w:styleId="Style_15_ch" w:type="character">
    <w:name w:val="Header and Footer"/>
    <w:link w:val="Style_15"/>
    <w:rPr>
      <w:rFonts w:ascii="XO Thames" w:hAnsi="XO Thames"/>
      <w:sz w:val="20"/>
    </w:rPr>
  </w:style>
  <w:style w:styleId="Style_16" w:type="paragraph">
    <w:name w:val="List Paragraph"/>
    <w:basedOn w:val="Style_1"/>
    <w:link w:val="Style_16_ch"/>
    <w:pPr>
      <w:ind w:firstLine="0" w:left="708"/>
    </w:pPr>
  </w:style>
  <w:style w:styleId="Style_16_ch" w:type="character">
    <w:name w:val="List Paragraph"/>
    <w:basedOn w:val="Style_1_ch"/>
    <w:link w:val="Style_16"/>
  </w:style>
  <w:style w:styleId="Style_17" w:type="paragraph">
    <w:name w:val="toc 9"/>
    <w:next w:val="Style_1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8" w:type="paragraph">
    <w:name w:val="toc 8"/>
    <w:next w:val="Style_1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9" w:type="paragraph">
    <w:name w:val="toc 5"/>
    <w:next w:val="Style_1"/>
    <w:link w:val="Style_1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9_ch" w:type="character">
    <w:name w:val="toc 5"/>
    <w:link w:val="Style_19"/>
    <w:rPr>
      <w:rFonts w:ascii="XO Thames" w:hAnsi="XO Thames"/>
      <w:sz w:val="28"/>
    </w:rPr>
  </w:style>
  <w:style w:styleId="Style_20" w:type="paragraph">
    <w:name w:val="Subtitle"/>
    <w:next w:val="Style_1"/>
    <w:link w:val="Style_20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0_ch" w:type="character">
    <w:name w:val="Subtitle"/>
    <w:link w:val="Style_20"/>
    <w:rPr>
      <w:rFonts w:ascii="XO Thames" w:hAnsi="XO Thames"/>
      <w:i w:val="1"/>
      <w:sz w:val="24"/>
    </w:rPr>
  </w:style>
  <w:style w:styleId="Style_21" w:type="paragraph">
    <w:name w:val="Title"/>
    <w:next w:val="Style_1"/>
    <w:link w:val="Style_2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1_ch" w:type="character">
    <w:name w:val="Title"/>
    <w:link w:val="Style_21"/>
    <w:rPr>
      <w:rFonts w:ascii="XO Thames" w:hAnsi="XO Thames"/>
      <w:b w:val="1"/>
      <w:caps w:val="1"/>
      <w:sz w:val="40"/>
    </w:rPr>
  </w:style>
  <w:style w:styleId="Style_22" w:type="paragraph">
    <w:name w:val="heading 4"/>
    <w:next w:val="Style_1"/>
    <w:link w:val="Style_2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2_ch" w:type="character">
    <w:name w:val="heading 4"/>
    <w:link w:val="Style_22"/>
    <w:rPr>
      <w:rFonts w:ascii="XO Thames" w:hAnsi="XO Thames"/>
      <w:b w:val="1"/>
      <w:sz w:val="24"/>
    </w:rPr>
  </w:style>
  <w:style w:styleId="Style_23" w:type="paragraph">
    <w:name w:val="heading 2"/>
    <w:next w:val="Style_1"/>
    <w:link w:val="Style_2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3_ch" w:type="character">
    <w:name w:val="heading 2"/>
    <w:link w:val="Style_23"/>
    <w:rPr>
      <w:rFonts w:ascii="XO Thames" w:hAnsi="XO Thames"/>
      <w:b w:val="1"/>
      <w:sz w:val="28"/>
    </w:rPr>
  </w:style>
  <w:style w:default="1" w:styleId="Style_2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numbering.xml" Type="http://schemas.openxmlformats.org/officeDocument/2006/relationships/numbering"/>
  <Relationship Id="rId10" Target="theme/theme1.xml" Type="http://schemas.openxmlformats.org/officeDocument/2006/relationships/theme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9" Target="webSettings.xml" Type="http://schemas.openxmlformats.org/officeDocument/2006/relationships/webSettings"/>
  <Relationship Id="rId5" Target="fontTable.xml" Type="http://schemas.openxmlformats.org/officeDocument/2006/relationships/fontTable"/>
  <Relationship Id="rId8" Target="stylesWithEffects.xml" Type="http://schemas.microsoft.com/office/2007/relationships/stylesWithEffects"/>
  <Relationship Id="rId4" Target="media/4.jpeg" Type="http://schemas.openxmlformats.org/officeDocument/2006/relationships/image"/>
  <Relationship Id="rId3" Target="media/3.png" Type="http://schemas.openxmlformats.org/officeDocument/2006/relationships/image"/>
  <Relationship Id="rId2" Target="media/2.jpe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2024-01-18T10:31:27Z</dcterms:modified>
</cp:coreProperties>
</file>