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i/>
          <w:iCs/>
        </w:rPr>
        <w:t xml:space="preserve">[Чернетка рукопису — формат наукової статті. Ім’я(ена) автора(ів),</w:t>
      </w:r>
      <w:r>
        <w:rPr>
          <w:i/>
          <w:iCs/>
        </w:rPr>
        <w:t xml:space="preserve"> </w:t>
      </w:r>
      <w:r>
        <w:rPr>
          <w:i/>
          <w:iCs/>
        </w:rPr>
        <w:t xml:space="preserve">афіліація(ії), джерела фінансування та заява про конфлікт інтересів</w:t>
      </w:r>
      <w:r>
        <w:rPr>
          <w:i/>
          <w:iCs/>
        </w:rPr>
        <w:t xml:space="preserve"> </w:t>
      </w:r>
      <w:r>
        <w:rPr>
          <w:i/>
          <w:iCs/>
        </w:rPr>
        <w:t xml:space="preserve">залишені як плейсхолдери нижче — заповніть перед поданням. Усі позиції</w:t>
      </w:r>
      <w:r>
        <w:rPr>
          <w:i/>
          <w:iCs/>
        </w:rPr>
        <w:t xml:space="preserve"> </w:t>
      </w:r>
      <w:r>
        <w:rPr>
          <w:i/>
          <w:iCs/>
        </w:rPr>
        <w:t xml:space="preserve">списку літератури звірено з Crossref/PubMed за назвою, журналом, роком,</w:t>
      </w:r>
      <w:r>
        <w:rPr>
          <w:i/>
          <w:iCs/>
        </w:rPr>
        <w:t xml:space="preserve"> </w:t>
      </w:r>
      <w:r>
        <w:rPr>
          <w:i/>
          <w:iCs/>
        </w:rPr>
        <w:t xml:space="preserve">томом, сторінками та списком авторів (станом на 8 жовтня 2026 р.); єдина</w:t>
      </w:r>
      <w:r>
        <w:rPr>
          <w:i/>
          <w:iCs/>
        </w:rPr>
        <w:t xml:space="preserve"> </w:t>
      </w:r>
      <w:r>
        <w:rPr>
          <w:i/>
          <w:iCs/>
        </w:rPr>
        <w:t xml:space="preserve">позиція, що потребує повторної перевірки перед поданням, — п. 22</w:t>
      </w:r>
      <w:r>
        <w:rPr>
          <w:i/>
          <w:iCs/>
        </w:rPr>
        <w:t xml:space="preserve"> </w:t>
      </w:r>
      <w:r>
        <w:rPr>
          <w:i/>
          <w:iCs/>
        </w:rPr>
        <w:t xml:space="preserve">(препринт bioRxiv, перевірити статус рецензованої публікації).]</w:t>
      </w:r>
    </w:p>
    <w:bookmarkStart w:id="31" w:name="X6777d0066286b94fecbbec5c7618c04143c9ec4"/>
    <w:p>
      <w:pPr>
        <w:pStyle w:val="Heading1"/>
      </w:pPr>
      <w:r>
        <w:t xml:space="preserve">Комп’ютерний скринінг потенційних позамішеневих взаємодій топічних агоністів TRPV1: від аналізу паралогів до структурного порівняння кишень і крос-докінгу</w:t>
      </w:r>
    </w:p>
    <w:p>
      <w:pPr>
        <w:pStyle w:val="FirstParagraph"/>
      </w:pPr>
      <w:r>
        <w:rPr>
          <w:b/>
          <w:bCs/>
        </w:rPr>
        <w:t xml:space="preserve">[Ім’я автора(ів)]</w:t>
      </w:r>
      <w:r>
        <w:t xml:space="preserve">¹</w:t>
      </w:r>
    </w:p>
    <w:p>
      <w:pPr>
        <w:pStyle w:val="BodyText"/>
      </w:pPr>
      <w:r>
        <w:t xml:space="preserve">¹</w:t>
      </w:r>
      <w:r>
        <w:t xml:space="preserve"> </w:t>
      </w:r>
      <w:r>
        <w:rPr>
          <w:i/>
          <w:iCs/>
        </w:rPr>
        <w:t xml:space="preserve">[Афіліація, кафедра/відділ, установа, місто, країна]</w:t>
      </w:r>
    </w:p>
    <w:p>
      <w:pPr>
        <w:pStyle w:val="BodyText"/>
      </w:pPr>
      <w:r>
        <w:t xml:space="preserve">Автор для листування:</w:t>
      </w:r>
      <w:r>
        <w:t xml:space="preserve"> </w:t>
      </w:r>
      <w:r>
        <w:rPr>
          <w:i/>
          <w:iCs/>
        </w:rPr>
        <w:t xml:space="preserve">[email]</w:t>
      </w:r>
    </w:p>
    <w:bookmarkStart w:id="9" w:name="анотація"/>
    <w:p>
      <w:pPr>
        <w:pStyle w:val="Heading2"/>
      </w:pPr>
      <w:r>
        <w:t xml:space="preserve">Анотація</w:t>
      </w:r>
    </w:p>
    <w:p>
      <w:pPr>
        <w:pStyle w:val="FirstParagraph"/>
      </w:pPr>
      <w:r>
        <w:rPr>
          <w:b/>
          <w:bCs/>
        </w:rPr>
        <w:t xml:space="preserve">Передумови.</w:t>
      </w:r>
      <w:r>
        <w:t xml:space="preserve"> </w:t>
      </w:r>
      <w:r>
        <w:t xml:space="preserve">Топічні агоністи TRPV1 — усталений, клінічно</w:t>
      </w:r>
      <w:r>
        <w:t xml:space="preserve"> </w:t>
      </w:r>
      <w:r>
        <w:t xml:space="preserve">підтверджений механізм анальгезії (наприклад, пластир з 8% капсаїцином),</w:t>
      </w:r>
      <w:r>
        <w:t xml:space="preserve"> </w:t>
      </w:r>
      <w:r>
        <w:t xml:space="preserve">проте оцінка безпеки за позамішеневими мішенями для нових кандидатів цього</w:t>
      </w:r>
      <w:r>
        <w:t xml:space="preserve"> </w:t>
      </w:r>
      <w:r>
        <w:t xml:space="preserve">класу зазвичай обмежується родиною паралогів TRPV1 за послідовністю (TRPV2–6) і</w:t>
      </w:r>
      <w:r>
        <w:t xml:space="preserve"> </w:t>
      </w:r>
      <w:r>
        <w:t xml:space="preserve">проводиться пізно, через емпіричні in vitro панелі.</w:t>
      </w:r>
      <w:r>
        <w:t xml:space="preserve"> </w:t>
      </w:r>
      <w:r>
        <w:rPr>
          <w:b/>
          <w:bCs/>
        </w:rPr>
        <w:t xml:space="preserve">Методи.</w:t>
      </w:r>
      <w:r>
        <w:t xml:space="preserve"> </w:t>
      </w:r>
      <w:r>
        <w:t xml:space="preserve">Ми</w:t>
      </w:r>
      <w:r>
        <w:t xml:space="preserve"> </w:t>
      </w:r>
      <w:r>
        <w:t xml:space="preserve">поєднали цілеспрямований літературний огляд родини паралогів — доповнений</w:t>
      </w:r>
      <w:r>
        <w:t xml:space="preserve"> </w:t>
      </w:r>
      <w:r>
        <w:t xml:space="preserve">кількісним порівнянням локальних представлень залишків кишені за</w:t>
      </w:r>
      <w:r>
        <w:t xml:space="preserve"> </w:t>
      </w:r>
      <w:r>
        <w:t xml:space="preserve">білковою мовною моделлю ESM-2 — зі структурним</w:t>
      </w:r>
      <w:r>
        <w:t xml:space="preserve"> </w:t>
      </w:r>
      <w:r>
        <w:t xml:space="preserve">комп’ютерним скринінгом: фільтр тканинної експресії (Human Protein Atlas)</w:t>
      </w:r>
      <w:r>
        <w:t xml:space="preserve"> </w:t>
      </w:r>
      <w:r>
        <w:t xml:space="preserve">для виявлення придатних до лікарського таргетування білків, збагачених у</w:t>
      </w:r>
      <w:r>
        <w:t xml:space="preserve"> </w:t>
      </w:r>
      <w:r>
        <w:t xml:space="preserve">шкірі, не споріднених з TRPV1 за послідовністю; детекцію порожнин</w:t>
      </w:r>
      <w:r>
        <w:t xml:space="preserve"> </w:t>
      </w:r>
      <w:r>
        <w:t xml:space="preserve">(fpocket) для порівняння геометрії та фізико-хімії кишень</w:t>
      </w:r>
      <w:r>
        <w:t xml:space="preserve"> </w:t>
      </w:r>
      <w:r>
        <w:t xml:space="preserve">кандидатів з ванілоїдною кишенею TRPV1 без докінгу; та молекулярний</w:t>
      </w:r>
      <w:r>
        <w:t xml:space="preserve"> </w:t>
      </w:r>
      <w:r>
        <w:t xml:space="preserve">докінг (AutoDock Vina) семи референсних агоністів TRPV1 у два кандидати,</w:t>
      </w:r>
      <w:r>
        <w:t xml:space="preserve"> </w:t>
      </w:r>
      <w:r>
        <w:t xml:space="preserve">перенесені зі скринінгу кишень — MMP3, що очолив обидва ранжування за</w:t>
      </w:r>
      <w:r>
        <w:t xml:space="preserve"> </w:t>
      </w:r>
      <w:r>
        <w:t xml:space="preserve">подібністю кишень, і RARG, підвищений у пріоритеті на незалежних</w:t>
      </w:r>
      <w:r>
        <w:t xml:space="preserve"> </w:t>
      </w:r>
      <w:r>
        <w:t xml:space="preserve">біологічних підставах і підставах придатності до фармакологічного</w:t>
      </w:r>
      <w:r>
        <w:t xml:space="preserve"> </w:t>
      </w:r>
      <w:r>
        <w:t xml:space="preserve">модулювання, попри те, що не лідирував у жодному з ранжувань за</w:t>
      </w:r>
      <w:r>
        <w:t xml:space="preserve"> </w:t>
      </w:r>
      <w:r>
        <w:t xml:space="preserve">відстанню — щоб перевірити, чи переходить</w:t>
      </w:r>
      <w:r>
        <w:t xml:space="preserve"> </w:t>
      </w:r>
      <w:r>
        <w:t xml:space="preserve">структурна подібність у порівнянне передбачене зв’язування.</w:t>
      </w:r>
      <w:r>
        <w:t xml:space="preserve"> </w:t>
      </w:r>
      <w:r>
        <w:rPr>
          <w:b/>
          <w:bCs/>
        </w:rPr>
        <w:t xml:space="preserve">Результати.</w:t>
      </w:r>
      <w:r>
        <w:t xml:space="preserve"> </w:t>
      </w:r>
      <w:r>
        <w:t xml:space="preserve">Усередині родини TRPV ідентичність послідовності всього білка погано</w:t>
      </w:r>
      <w:r>
        <w:t xml:space="preserve"> </w:t>
      </w:r>
      <w:r>
        <w:t xml:space="preserve">передбачає ризик на рівні сайту зв’язування: за літературними даними,</w:t>
      </w:r>
      <w:r>
        <w:t xml:space="preserve"> </w:t>
      </w:r>
      <w:r>
        <w:t xml:space="preserve">регіон ванілоїдної кишені структурно консервативний між TRPV1–3 незалежно</w:t>
      </w:r>
      <w:r>
        <w:t xml:space="preserve"> </w:t>
      </w:r>
      <w:r>
        <w:t xml:space="preserve">від загальної ідентичності, тоді як селективність TRPV4 досягається</w:t>
      </w:r>
      <w:r>
        <w:t xml:space="preserve"> </w:t>
      </w:r>
      <w:r>
        <w:t xml:space="preserve">точковими замінами всередині загалом схожої кишені. Поза родиною скринінг</w:t>
      </w:r>
      <w:r>
        <w:t xml:space="preserve"> </w:t>
      </w:r>
      <w:r>
        <w:t xml:space="preserve">експресії в шкірі в масштабі геному (604 гени-кандидати) у поєднанні з</w:t>
      </w:r>
      <w:r>
        <w:t xml:space="preserve"> </w:t>
      </w:r>
      <w:r>
        <w:t xml:space="preserve">фільтром придатності до фармакологічного модулювання (druggability) та</w:t>
      </w:r>
      <w:r>
        <w:t xml:space="preserve"> </w:t>
      </w:r>
      <w:r>
        <w:t xml:space="preserve">порівнянням «відбитків» кишень вивів у вершину обох незалежних ранжувань</w:t>
      </w:r>
      <w:r>
        <w:t xml:space="preserve"> </w:t>
      </w:r>
      <w:r>
        <w:t xml:space="preserve">три гени — матриксну металопротеїназу-3 (MMP3), нейротрофін-4 (NTF4) і</w:t>
      </w:r>
      <w:r>
        <w:t xml:space="preserve"> </w:t>
      </w:r>
      <w:r>
        <w:t xml:space="preserve">блеоміцин-гідролазу (BLMH); після звірки з відомою біологією (що</w:t>
      </w:r>
      <w:r>
        <w:t xml:space="preserve"> </w:t>
      </w:r>
      <w:r>
        <w:t xml:space="preserve">депріоритизувала NTF4 як імовірну поверхню білок-білкової взаємодії)</w:t>
      </w:r>
      <w:r>
        <w:t xml:space="preserve"> </w:t>
      </w:r>
      <w:r>
        <w:t xml:space="preserve">і окремої, зафіксованої заздалегідь пріоритизації за біологічними</w:t>
      </w:r>
      <w:r>
        <w:t xml:space="preserve"> </w:t>
      </w:r>
      <w:r>
        <w:t xml:space="preserve">критеріями, застосованої до всього переліку з 26 генів, до крос-докінгу</w:t>
      </w:r>
      <w:r>
        <w:t xml:space="preserve"> </w:t>
      </w:r>
      <w:r>
        <w:t xml:space="preserve">перенесено MMP3 і рецептор ретиноєвої кислоти гамма (RARG) — останній не</w:t>
      </w:r>
      <w:r>
        <w:t xml:space="preserve"> </w:t>
      </w:r>
      <w:r>
        <w:t xml:space="preserve">лідирував у жодному з ранжувань за відстанню, але має майже максимальну</w:t>
      </w:r>
      <w:r>
        <w:t xml:space="preserve"> </w:t>
      </w:r>
      <w:r>
        <w:t xml:space="preserve">druggability і є мішенню вже схваленого топічного ретиноїду. Крос-докінг підтримав найсильнішу з цих гіпотез, не підтверджуючи</w:t>
      </w:r>
      <w:r>
        <w:t xml:space="preserve"> </w:t>
      </w:r>
      <w:r>
        <w:t xml:space="preserve">її остаточно: для більшості з семи референсних агоністів TRPV1 показники</w:t>
      </w:r>
      <w:r>
        <w:t xml:space="preserve"> </w:t>
      </w:r>
      <w:r>
        <w:t xml:space="preserve">Vina проти ретиноїдної кишені RARG, і окремо проти виправленого</w:t>
      </w:r>
      <w:r>
        <w:t xml:space="preserve"> </w:t>
      </w:r>
      <w:r>
        <w:t xml:space="preserve">Zn/Ca-вмісного рецептора MMP3, були чисельно порівнянними (у кількох</w:t>
      </w:r>
      <w:r>
        <w:t xml:space="preserve"> </w:t>
      </w:r>
      <w:r>
        <w:t xml:space="preserve">випадках дещо кращими) з показниками проти самого TRPV1; resiniferatoxin —</w:t>
      </w:r>
      <w:r>
        <w:t xml:space="preserve"> </w:t>
      </w:r>
      <w:r>
        <w:t xml:space="preserve">найоб’ємніший і структурно найскладніший з протестованих лігандів — був</w:t>
      </w:r>
      <w:r>
        <w:t xml:space="preserve"> </w:t>
      </w:r>
      <w:r>
        <w:t xml:space="preserve">стабільним винятком на обох позамішеневих мішенях. Показники докінгу — не</w:t>
      </w:r>
      <w:r>
        <w:t xml:space="preserve"> </w:t>
      </w:r>
      <w:r>
        <w:t xml:space="preserve">пряма міра спорідненості зв’язування, а порівняння показників між різними</w:t>
      </w:r>
      <w:r>
        <w:t xml:space="preserve"> </w:t>
      </w:r>
      <w:r>
        <w:t xml:space="preserve">рецепторами несе додаткову невизначеність понад звичне використання</w:t>
      </w:r>
      <w:r>
        <w:t xml:space="preserve"> </w:t>
      </w:r>
      <w:r>
        <w:t xml:space="preserve">методу для ранжування всередині однієї мішені; ці результати варто читати</w:t>
      </w:r>
      <w:r>
        <w:t xml:space="preserve"> </w:t>
      </w:r>
      <w:r>
        <w:t xml:space="preserve">як підставу для подальшої експериментальної перевірки, а не як доказ</w:t>
      </w:r>
      <w:r>
        <w:t xml:space="preserve"> </w:t>
      </w:r>
      <w:r>
        <w:t xml:space="preserve">реальної крос-реактивності. Щоб перевірити цю невизначеність напряму, ми</w:t>
      </w:r>
      <w:r>
        <w:t xml:space="preserve"> </w:t>
      </w:r>
      <w:r>
        <w:t xml:space="preserve">окремо передокували панель зі 30 відомих активних і 30 неактивних</w:t>
      </w:r>
      <w:r>
        <w:t xml:space="preserve"> </w:t>
      </w:r>
      <w:r>
        <w:t xml:space="preserve">сполук з ChEMBL (підібраних за схожими фізико-хімічними властивостями)</w:t>
      </w:r>
      <w:r>
        <w:t xml:space="preserve"> </w:t>
      </w:r>
      <w:r>
        <w:t xml:space="preserve">для кожної позамішеневої мішені та перевірили, чи розділяє їх сам</w:t>
      </w:r>
      <w:r>
        <w:t xml:space="preserve"> </w:t>
      </w:r>
      <w:r>
        <w:t xml:space="preserve">показник Vina всередині кожного рецептора. RARG пройшов цю перевірку на</w:t>
      </w:r>
      <w:r>
        <w:t xml:space="preserve"> </w:t>
      </w:r>
      <w:r>
        <w:t xml:space="preserve">істинних даних (ROC-AUC 0.811); MMP3 — ні (ROC-AUC 0.503, невідрізнимо</w:t>
      </w:r>
      <w:r>
        <w:t xml:space="preserve"> </w:t>
      </w:r>
      <w:r>
        <w:t xml:space="preserve">від випадковості), і залишився близьким до випадковості (ROC-AUC 0.551)</w:t>
      </w:r>
      <w:r>
        <w:t xml:space="preserve"> </w:t>
      </w:r>
      <w:r>
        <w:t xml:space="preserve">навіть після заміни звичайної скорингової функції Vina на AD4Zn —</w:t>
      </w:r>
      <w:r>
        <w:t xml:space="preserve"> </w:t>
      </w:r>
      <w:r>
        <w:t xml:space="preserve">силове поле з явним потенціалом координації цинку. Окремо, щоб перевести</w:t>
      </w:r>
      <w:r>
        <w:t xml:space="preserve"> </w:t>
      </w:r>
      <w:r>
        <w:t xml:space="preserve">якісне твердження про паралоги в кількісну форму, ми порівняли локальні</w:t>
      </w:r>
      <w:r>
        <w:t xml:space="preserve"> </w:t>
      </w:r>
      <w:r>
        <w:t xml:space="preserve">представлення ESM-2, обмежені чотирма залишками ванілоїдної кишені та</w:t>
      </w:r>
      <w:r>
        <w:t xml:space="preserve"> </w:t>
      </w:r>
      <w:r>
        <w:t xml:space="preserve">зіставлені між паралогами вирівнюванням: вони відтворюють більшу</w:t>
      </w:r>
      <w:r>
        <w:t xml:space="preserve"> </w:t>
      </w:r>
      <w:r>
        <w:t xml:space="preserve">дивергенцію TRPV5/TRPV6 на рівні кишені (0.93–0.94 проти 0.965–0.969 для</w:t>
      </w:r>
      <w:r>
        <w:t xml:space="preserve"> </w:t>
      </w:r>
      <w:r>
        <w:t xml:space="preserve">TRPV2–4), але не підтверджують TRPV4-специфічної частини твердження, що</w:t>
      </w:r>
      <w:r>
        <w:t xml:space="preserve"> </w:t>
      </w:r>
      <w:r>
        <w:t xml:space="preserve">ми трактуємо як обмеження усереднення по вікну.</w:t>
      </w:r>
      <w:r>
        <w:t xml:space="preserve"> </w:t>
      </w:r>
      <w:r>
        <w:rPr>
          <w:b/>
          <w:bCs/>
        </w:rPr>
        <w:t xml:space="preserve">Висновки.</w:t>
      </w:r>
      <w:r>
        <w:t xml:space="preserve"> </w:t>
      </w:r>
      <w:r>
        <w:t xml:space="preserve">Ризик</w:t>
      </w:r>
      <w:r>
        <w:t xml:space="preserve"> </w:t>
      </w:r>
      <w:r>
        <w:t xml:space="preserve">за позамішеневими мішенями для цього хімічного ряду, можливо, не</w:t>
      </w:r>
      <w:r>
        <w:t xml:space="preserve"> </w:t>
      </w:r>
      <w:r>
        <w:t xml:space="preserve">обмежується родиною TRPV/TRPA, і за цими даними явно не обмежений і</w:t>
      </w:r>
      <w:r>
        <w:t xml:space="preserve"> </w:t>
      </w:r>
      <w:r>
        <w:t xml:space="preserve">меншими чи простішими кандидатами — він охоплює більшу частину</w:t>
      </w:r>
      <w:r>
        <w:t xml:space="preserve"> </w:t>
      </w:r>
      <w:r>
        <w:t xml:space="preserve">дослідженого ряду на двох незалежних, структурно неспоріднених</w:t>
      </w:r>
      <w:r>
        <w:t xml:space="preserve"> </w:t>
      </w:r>
      <w:r>
        <w:t xml:space="preserve">позамішеневих мішенях. Незалежна перевірка дискримінації підтверджує</w:t>
      </w:r>
      <w:r>
        <w:t xml:space="preserve"> </w:t>
      </w:r>
      <w:r>
        <w:t xml:space="preserve">RARG як пріоритетну мішень для подальшого контрскринінгу кандидатів</w:t>
      </w:r>
      <w:r>
        <w:t xml:space="preserve"> </w:t>
      </w:r>
      <w:r>
        <w:t xml:space="preserve">топічних TRPV1-анальгетиків цього структурного класу; MMP3, попри</w:t>
      </w:r>
      <w:r>
        <w:t xml:space="preserve"> </w:t>
      </w:r>
      <w:r>
        <w:t xml:space="preserve">початково подібний сигнал подібності кишень і крос-докінгу, не пройшов</w:t>
      </w:r>
      <w:r>
        <w:t xml:space="preserve"> </w:t>
      </w:r>
      <w:r>
        <w:t xml:space="preserve">цю перевірку навіть з урахуванням фізики цинку, і його краще розглядати</w:t>
      </w:r>
      <w:r>
        <w:t xml:space="preserve"> </w:t>
      </w:r>
      <w:r>
        <w:t xml:space="preserve">як методологічно невирішене питання для спостереження, ніж як</w:t>
      </w:r>
      <w:r>
        <w:t xml:space="preserve"> </w:t>
      </w:r>
      <w:r>
        <w:t xml:space="preserve">підтверджену пріоритетну мішень нарівні з RARG. Ми описуємо недорогий</w:t>
      </w:r>
      <w:r>
        <w:t xml:space="preserve"> </w:t>
      </w:r>
      <w:r>
        <w:t xml:space="preserve">пре-lead комп’ютерний пайплайн тріажу (тканинна експресія → геометрія</w:t>
      </w:r>
      <w:r>
        <w:t xml:space="preserve"> </w:t>
      </w:r>
      <w:r>
        <w:t xml:space="preserve">кишені → цілеспрямований крос-докінг → перевірка дискримінації на</w:t>
      </w:r>
      <w:r>
        <w:t xml:space="preserve"> </w:t>
      </w:r>
      <w:r>
        <w:t xml:space="preserve">істинних даних), який узагальнюється на інші топічні або іншим чином</w:t>
      </w:r>
      <w:r>
        <w:t xml:space="preserve"> </w:t>
      </w:r>
      <w:r>
        <w:t xml:space="preserve">просторово-обмежені програми малих молекул.</w:t>
      </w:r>
    </w:p>
    <w:p>
      <w:pPr>
        <w:pStyle w:val="BodyText"/>
      </w:pPr>
      <w:r>
        <w:rPr>
          <w:b/>
          <w:bCs/>
        </w:rPr>
        <w:t xml:space="preserve">Ключові слова:</w:t>
      </w:r>
      <w:r>
        <w:t xml:space="preserve"> </w:t>
      </w:r>
      <w:r>
        <w:t xml:space="preserve">TRPV1; безпека за позамішеневими мішенями; молекулярний</w:t>
      </w:r>
      <w:r>
        <w:t xml:space="preserve"> </w:t>
      </w:r>
      <w:r>
        <w:t xml:space="preserve">докінг; подібність кишень; fpocket; рецептор ретиноєвої кислоти гамма;</w:t>
      </w:r>
      <w:r>
        <w:t xml:space="preserve"> </w:t>
      </w:r>
      <w:r>
        <w:t xml:space="preserve">матриксна металопротеїназа-3; топічний анальгетик; in silico</w:t>
      </w:r>
      <w:r>
        <w:t xml:space="preserve"> </w:t>
      </w:r>
      <w:r>
        <w:t xml:space="preserve">токсикологія; поліфармакологія; AutoDock4Zn; збагачення докінгу; ROC-AUC;</w:t>
      </w:r>
      <w:r>
        <w:t xml:space="preserve"> </w:t>
      </w:r>
      <w:r>
        <w:t xml:space="preserve">ESM-2; білкові мовні моделі</w:t>
      </w:r>
    </w:p>
    <w:bookmarkEnd w:id="9"/>
    <w:bookmarkStart w:id="10" w:name="вступ"/>
    <w:p>
      <w:pPr>
        <w:pStyle w:val="Heading2"/>
      </w:pPr>
      <w:r>
        <w:t xml:space="preserve">1. Вступ</w:t>
      </w:r>
    </w:p>
    <w:p>
      <w:pPr>
        <w:pStyle w:val="FirstParagraph"/>
      </w:pPr>
      <w:r>
        <w:t xml:space="preserve">Транзієнтний рецепторний потенціал ванілоїд 1 (TRPV1) — неселективний</w:t>
      </w:r>
      <w:r>
        <w:t xml:space="preserve"> </w:t>
      </w:r>
      <w:r>
        <w:t xml:space="preserve">катіонний канал, що передає ноцицептивні сигнали від шкідливого тепла,</w:t>
      </w:r>
      <w:r>
        <w:t xml:space="preserve"> </w:t>
      </w:r>
      <w:r>
        <w:t xml:space="preserve">протонів і ванілоїдних лігандів у периферичних ноцицепторах, і є</w:t>
      </w:r>
      <w:r>
        <w:t xml:space="preserve"> </w:t>
      </w:r>
      <w:r>
        <w:t xml:space="preserve">механістичною мішенню єдиного схваленого топічного</w:t>
      </w:r>
      <w:r>
        <w:t xml:space="preserve"> </w:t>
      </w:r>
      <w:r>
        <w:t xml:space="preserve">агоніст-десенсибілізуючого анальгетика цього класу (пластир з 8%</w:t>
      </w:r>
      <w:r>
        <w:t xml:space="preserve"> </w:t>
      </w:r>
      <w:r>
        <w:t xml:space="preserve">капсаїцином, Qutenza) [18]. Системний антагонізм TRPV1 неодноразово</w:t>
      </w:r>
      <w:r>
        <w:t xml:space="preserve"> </w:t>
      </w:r>
      <w:r>
        <w:t xml:space="preserve">зазнавав невдачі в клінічній розробці через гіпертермію, пов’язану з</w:t>
      </w:r>
      <w:r>
        <w:t xml:space="preserve"> </w:t>
      </w:r>
      <w:r>
        <w:t xml:space="preserve">дією на мішень [30], що відновило інтерес до топічних, агоніст-керованих</w:t>
      </w:r>
      <w:r>
        <w:t xml:space="preserve"> </w:t>
      </w:r>
      <w:r>
        <w:t xml:space="preserve">стратегій, спрямованих на мінімізацію (а не повне усунення) системної</w:t>
      </w:r>
      <w:r>
        <w:t xml:space="preserve"> </w:t>
      </w:r>
      <w:r>
        <w:t xml:space="preserve">експозиції — навіть у схваленому пластирі з капсаїцином низькі, тимчасові</w:t>
      </w:r>
      <w:r>
        <w:t xml:space="preserve"> </w:t>
      </w:r>
      <w:r>
        <w:t xml:space="preserve">рівні капсаїцину в плазмі фіксуються в меншості пацієнтів згідно з</w:t>
      </w:r>
      <w:r>
        <w:t xml:space="preserve"> </w:t>
      </w:r>
      <w:r>
        <w:t xml:space="preserve">маркуванням FDA [18]. Будь-яка така програма все одно потребує</w:t>
      </w:r>
      <w:r>
        <w:t xml:space="preserve"> </w:t>
      </w:r>
      <w:r>
        <w:t xml:space="preserve">обґрунтування безпеки за позамішеневими мішенями, і стандартний підхід —</w:t>
      </w:r>
      <w:r>
        <w:t xml:space="preserve"> </w:t>
      </w:r>
      <w:r>
        <w:t xml:space="preserve">профілювання активності проти родини паралогів мішені за послідовністю —</w:t>
      </w:r>
      <w:r>
        <w:t xml:space="preserve"> </w:t>
      </w:r>
      <w:r>
        <w:t xml:space="preserve">необхідний, але недостатній з двох причин. По-перше, ідентичність</w:t>
      </w:r>
      <w:r>
        <w:t xml:space="preserve"> </w:t>
      </w:r>
      <w:r>
        <w:t xml:space="preserve">послідовності всього білка — ненадійний наближений показник (proxy) для</w:t>
      </w:r>
      <w:r>
        <w:t xml:space="preserve"> </w:t>
      </w:r>
      <w:r>
        <w:t xml:space="preserve">подібності саме на тому сайті зв’язування, який фармакологічно</w:t>
      </w:r>
      <w:r>
        <w:t xml:space="preserve"> </w:t>
      </w:r>
      <w:r>
        <w:t xml:space="preserve">має значення; два паралоги можуть суттєво відрізнятися за загальною</w:t>
      </w:r>
      <w:r>
        <w:t xml:space="preserve"> </w:t>
      </w:r>
      <w:r>
        <w:t xml:space="preserve">ідентичністю, маючи при цьому майже ідентичну кишеню, або навпаки.</w:t>
      </w:r>
      <w:r>
        <w:t xml:space="preserve"> </w:t>
      </w:r>
      <w:r>
        <w:t xml:space="preserve">По-друге, спорідненість за послідовністю нічого не говорить про</w:t>
      </w:r>
      <w:r>
        <w:t xml:space="preserve"> </w:t>
      </w:r>
      <w:r>
        <w:rPr>
          <w:i/>
          <w:iCs/>
        </w:rPr>
        <w:t xml:space="preserve">неспоріднені</w:t>
      </w:r>
      <w:r>
        <w:t xml:space="preserve"> </w:t>
      </w:r>
      <w:r>
        <w:t xml:space="preserve">білки, які випадково (а) мають геометрично та хімічно</w:t>
      </w:r>
      <w:r>
        <w:t xml:space="preserve"> </w:t>
      </w:r>
      <w:r>
        <w:t xml:space="preserve">подібну кишеню і (б) ко-експресовані в місці локальної дії препарату —</w:t>
      </w:r>
      <w:r>
        <w:t xml:space="preserve"> </w:t>
      </w:r>
      <w:r>
        <w:t xml:space="preserve">категорію ризику, яку стандартні паралогові панелі за визначенням не</w:t>
      </w:r>
      <w:r>
        <w:t xml:space="preserve"> </w:t>
      </w:r>
      <w:r>
        <w:t xml:space="preserve">можуть виявити і яку зазвичай ловлять лише пізно, через широкі емпіричні</w:t>
      </w:r>
      <w:r>
        <w:t xml:space="preserve"> </w:t>
      </w:r>
      <w:r>
        <w:t xml:space="preserve">панелі селективності вже після появи сполуки-лідера.</w:t>
      </w:r>
    </w:p>
    <w:p>
      <w:pPr>
        <w:pStyle w:val="BodyText"/>
      </w:pPr>
      <w:r>
        <w:t xml:space="preserve">Ми описуємо двоетапний in silico тріаж, що усуває обидва пробіли для</w:t>
      </w:r>
      <w:r>
        <w:t xml:space="preserve"> </w:t>
      </w:r>
      <w:r>
        <w:t xml:space="preserve">програми топічного агоніста TRPV1. Перший етап — переоцінка родини</w:t>
      </w:r>
      <w:r>
        <w:t xml:space="preserve"> </w:t>
      </w:r>
      <w:r>
        <w:t xml:space="preserve">паралогів TRPV1 (TRPV2–6, плюс механістично споріднений канал TRPA1),</w:t>
      </w:r>
      <w:r>
        <w:t xml:space="preserve"> </w:t>
      </w:r>
      <w:r>
        <w:t xml:space="preserve">заякорена в літературі, яка явно розділяє ідентичність послідовності</w:t>
      </w:r>
      <w:r>
        <w:t xml:space="preserve"> </w:t>
      </w:r>
      <w:r>
        <w:t xml:space="preserve">всього білка та структурну консервативність на рівні сайту зв’язування.</w:t>
      </w:r>
      <w:r>
        <w:t xml:space="preserve"> </w:t>
      </w:r>
      <w:r>
        <w:t xml:space="preserve">Другий етап — структурний скринінг ризику за позамішеневими мішенями</w:t>
      </w:r>
      <w:r>
        <w:t xml:space="preserve"> </w:t>
      </w:r>
      <w:r>
        <w:rPr>
          <w:i/>
          <w:iCs/>
        </w:rPr>
        <w:t xml:space="preserve">поза</w:t>
      </w:r>
      <w:r>
        <w:t xml:space="preserve"> </w:t>
      </w:r>
      <w:r>
        <w:t xml:space="preserve">родиною TRPV/TRPA: фільтр тканинної експресії для переліку придатних до</w:t>
      </w:r>
      <w:r>
        <w:t xml:space="preserve"> </w:t>
      </w:r>
      <w:r>
        <w:t xml:space="preserve">таргетування білків, ко-експресованих у шкірі (місці дії топічного</w:t>
      </w:r>
      <w:r>
        <w:t xml:space="preserve"> </w:t>
      </w:r>
      <w:r>
        <w:t xml:space="preserve">препарату), порівняння кандидатних кишень з ванілоїдною кишенею TRPV1 на</w:t>
      </w:r>
      <w:r>
        <w:t xml:space="preserve"> </w:t>
      </w:r>
      <w:r>
        <w:t xml:space="preserve">основі детекції порожнин, і — для отриманих топ-кандидатів — прямий</w:t>
      </w:r>
      <w:r>
        <w:t xml:space="preserve"> </w:t>
      </w:r>
      <w:r>
        <w:t xml:space="preserve">крос-докінг референсного ряду агоністів програми, щоб перевірити, чи</w:t>
      </w:r>
      <w:r>
        <w:t xml:space="preserve"> </w:t>
      </w:r>
      <w:r>
        <w:t xml:space="preserve">підтверджується структурне передбачення реальною скоринговою функцією.</w:t>
      </w:r>
      <w:r>
        <w:t xml:space="preserve"> </w:t>
      </w:r>
      <w:r>
        <w:t xml:space="preserve">Усі вибори програмного забезпечення та джерел даних зроблені так, щоб</w:t>
      </w:r>
      <w:r>
        <w:t xml:space="preserve"> </w:t>
      </w:r>
      <w:r>
        <w:t xml:space="preserve">пайплайн залишався недорогим і відтворюваним за допомогою інструментів,</w:t>
      </w:r>
      <w:r>
        <w:t xml:space="preserve"> </w:t>
      </w:r>
      <w:r>
        <w:t xml:space="preserve">уже провалідованих у докінг-пайплайні групи, — щоб він міг працювати</w:t>
      </w:r>
      <w:r>
        <w:t xml:space="preserve"> </w:t>
      </w:r>
      <w:r>
        <w:rPr>
          <w:i/>
          <w:iCs/>
        </w:rPr>
        <w:t xml:space="preserve">до</w:t>
      </w:r>
      <w:r>
        <w:t xml:space="preserve"> </w:t>
      </w:r>
      <w:r>
        <w:t xml:space="preserve">появи сполуки-лідера, а не заміняти пізніше емпіричне профілювання</w:t>
      </w:r>
      <w:r>
        <w:t xml:space="preserve"> </w:t>
      </w:r>
      <w:r>
        <w:t xml:space="preserve">селективності.</w:t>
      </w:r>
    </w:p>
    <w:bookmarkEnd w:id="10"/>
    <w:bookmarkStart w:id="17" w:name="матеріали-та-методи"/>
    <w:p>
      <w:pPr>
        <w:pStyle w:val="Heading2"/>
      </w:pPr>
      <w:r>
        <w:t xml:space="preserve">2. Матеріали та методи</w:t>
      </w:r>
    </w:p>
    <w:bookmarkStart w:id="11" w:name="дані-про-родину-паралогів"/>
    <w:p>
      <w:pPr>
        <w:pStyle w:val="Heading3"/>
      </w:pPr>
      <w:r>
        <w:t xml:space="preserve">2.1 Дані про родину паралогів</w:t>
      </w:r>
    </w:p>
    <w:p>
      <w:pPr>
        <w:pStyle w:val="FirstParagraph"/>
      </w:pPr>
      <w:r>
        <w:t xml:space="preserve">Ідентичність паралогів за послідовністю, перевірені потенційні ризики</w:t>
      </w:r>
      <w:r>
        <w:t xml:space="preserve"> </w:t>
      </w:r>
      <w:r>
        <w:t xml:space="preserve">безпеки та придатність мішені для розроблення лікарських засобів</w:t>
      </w:r>
      <w:r>
        <w:t xml:space="preserve"> </w:t>
      </w:r>
      <w:r>
        <w:t xml:space="preserve">(tractability) для TRPV1 і п’яти найближчих людських паралогів (TRPV2–6)</w:t>
      </w:r>
      <w:r>
        <w:t xml:space="preserve"> </w:t>
      </w:r>
      <w:r>
        <w:t xml:space="preserve">отримані з GraphQL API Open Targets Platform [1], який інтегрує дані</w:t>
      </w:r>
      <w:r>
        <w:t xml:space="preserve"> </w:t>
      </w:r>
      <w:r>
        <w:t xml:space="preserve">гомології, похідні від Ensembl, з перевіреними фармаконаглядовими та</w:t>
      </w:r>
      <w:r>
        <w:t xml:space="preserve"> </w:t>
      </w:r>
      <w:r>
        <w:t xml:space="preserve">генетичними даними. Потенційні ризики безпеки, відсутні серед перевірених</w:t>
      </w:r>
      <w:r>
        <w:t xml:space="preserve"> </w:t>
      </w:r>
      <w:r>
        <w:t xml:space="preserve">в Open Targets (знайдені для TRPV5 і TRPV6), додані за результатами</w:t>
      </w:r>
      <w:r>
        <w:t xml:space="preserve"> </w:t>
      </w:r>
      <w:r>
        <w:t xml:space="preserve">цілеспрямованого</w:t>
      </w:r>
      <w:r>
        <w:t xml:space="preserve"> </w:t>
      </w:r>
      <w:r>
        <w:t xml:space="preserve">літературного пошуку. TRPA1 — механістично суміжний, ко-експресований</w:t>
      </w:r>
      <w:r>
        <w:t xml:space="preserve"> </w:t>
      </w:r>
      <w:r>
        <w:t xml:space="preserve">ноцицептивний канал, що не є паралогом TRPV1 за послідовністю — включений</w:t>
      </w:r>
      <w:r>
        <w:t xml:space="preserve"> </w:t>
      </w:r>
      <w:r>
        <w:t xml:space="preserve">на функціональних підставах.</w:t>
      </w:r>
    </w:p>
    <w:bookmarkEnd w:id="11"/>
    <w:bookmarkStart w:id="12" w:name="відбір-кандидатів-експресованих-у-шкірі"/>
    <w:p>
      <w:pPr>
        <w:pStyle w:val="Heading3"/>
      </w:pPr>
      <w:r>
        <w:t xml:space="preserve">2.2 Відбір кандидатів, експресованих у шкірі</w:t>
      </w:r>
    </w:p>
    <w:p>
      <w:pPr>
        <w:pStyle w:val="FirstParagraph"/>
      </w:pPr>
      <w:r>
        <w:t xml:space="preserve">Кандидатні позамішеневі білки перелічені за ресурсом тканинної</w:t>
      </w:r>
      <w:r>
        <w:t xml:space="preserve"> </w:t>
      </w:r>
      <w:r>
        <w:t xml:space="preserve">специфічності РНК Human Protein Atlas [2], з фільтрацією до генів,</w:t>
      </w:r>
      <w:r>
        <w:t xml:space="preserve"> </w:t>
      </w:r>
      <w:r>
        <w:t xml:space="preserve">класифікованих як «Tissue enriched», «Group enriched» або «Tissue</w:t>
      </w:r>
      <w:r>
        <w:t xml:space="preserve"> </w:t>
      </w:r>
      <w:r>
        <w:t xml:space="preserve">enhanced» для шкіри. Кожен кандидат звірений з анотаціями Open Targets</w:t>
      </w:r>
      <w:r>
        <w:t xml:space="preserve"> </w:t>
      </w:r>
      <w:r>
        <w:rPr>
          <w:rStyle w:val="VerbatimChar"/>
        </w:rPr>
        <w:t xml:space="preserve">targetClass</w:t>
      </w:r>
      <w:r>
        <w:t xml:space="preserve"> </w:t>
      </w:r>
      <w:r>
        <w:t xml:space="preserve">та</w:t>
      </w:r>
      <w:r>
        <w:t xml:space="preserve"> </w:t>
      </w:r>
      <w:r>
        <w:rPr>
          <w:rStyle w:val="VerbatimChar"/>
        </w:rPr>
        <w:t xml:space="preserve">tractability</w:t>
      </w:r>
      <w:r>
        <w:t xml:space="preserve"> </w:t>
      </w:r>
      <w:r>
        <w:t xml:space="preserve">(придатність мішені для розроблення</w:t>
      </w:r>
      <w:r>
        <w:t xml:space="preserve"> </w:t>
      </w:r>
      <w:r>
        <w:t xml:space="preserve">лікарських засобів) для малих молекул [1], щоб виключити гени без відомої</w:t>
      </w:r>
      <w:r>
        <w:t xml:space="preserve"> </w:t>
      </w:r>
      <w:r>
        <w:t xml:space="preserve">лиганд-зв’язувальної кишені (переважно структурні/бар’єрні білки) та</w:t>
      </w:r>
      <w:r>
        <w:t xml:space="preserve"> </w:t>
      </w:r>
      <w:r>
        <w:t xml:space="preserve">розподілити решту за ярусами за силою доказів наявності кишені</w:t>
      </w:r>
      <w:r>
        <w:t xml:space="preserve"> </w:t>
      </w:r>
      <w:r>
        <w:t xml:space="preserve">(підтверджена кишеня; структура зі зв’язаним лігандом без явного</w:t>
      </w:r>
      <w:r>
        <w:t xml:space="preserve"> </w:t>
      </w:r>
      <w:r>
        <w:t xml:space="preserve">визначення кишені; білок придатної для таргетування родини без</w:t>
      </w:r>
      <w:r>
        <w:t xml:space="preserve"> </w:t>
      </w:r>
      <w:r>
        <w:t xml:space="preserve">структурних доказів). Ця стаття охоплює лише ярус найвищої</w:t>
      </w:r>
      <w:r>
        <w:t xml:space="preserve"> </w:t>
      </w:r>
      <w:r>
        <w:t xml:space="preserve">достовірності.</w:t>
      </w:r>
    </w:p>
    <w:bookmarkEnd w:id="12"/>
    <w:bookmarkStart w:id="13" w:name="Xb34a022d990fa1d656f9c4eea557354934093dc"/>
    <w:p>
      <w:pPr>
        <w:pStyle w:val="Heading3"/>
      </w:pPr>
      <w:r>
        <w:t xml:space="preserve">2.3 Детекція порожнин і порівняння «відбитків» кишень</w:t>
      </w:r>
    </w:p>
    <w:p>
      <w:pPr>
        <w:pStyle w:val="FirstParagraph"/>
      </w:pPr>
      <w:r>
        <w:t xml:space="preserve">Порожнини білків детектовано за допомогою fpocket [3] — детектора,</w:t>
      </w:r>
      <w:r>
        <w:t xml:space="preserve"> </w:t>
      </w:r>
      <w:r>
        <w:t xml:space="preserve">що працює виключно за геометрією (тріангуляція Вороного/альфа-сфери) і</w:t>
      </w:r>
      <w:r>
        <w:t xml:space="preserve"> </w:t>
      </w:r>
      <w:r>
        <w:t xml:space="preserve">не потребує зв’язаного ліганду, масштабуючись на десятки структур за</w:t>
      </w:r>
      <w:r>
        <w:t xml:space="preserve"> </w:t>
      </w:r>
      <w:r>
        <w:t xml:space="preserve">хвилини. Метод провалідовано на еталоні перед використанням: запущений</w:t>
      </w:r>
      <w:r>
        <w:t xml:space="preserve"> </w:t>
      </w:r>
      <w:r>
        <w:t xml:space="preserve">на фрагменті TRPV1, що містить ванілоїдну кишеню (ланцюги A+D PDB</w:t>
      </w:r>
      <w:r>
        <w:t xml:space="preserve"> </w:t>
      </w:r>
      <w:r>
        <w:t xml:space="preserve">11CK, обрізані до міжсубодиничної області, що формує кишеню),</w:t>
      </w:r>
      <w:r>
        <w:t xml:space="preserve"> </w:t>
      </w:r>
      <w:r>
        <w:t xml:space="preserve">топ-ранжована власним рейтингом fpocket порожнина незалежно відтворила</w:t>
      </w:r>
      <w:r>
        <w:t xml:space="preserve"> </w:t>
      </w:r>
      <w:r>
        <w:t xml:space="preserve">всі чотири літературно встановлені залишки ванілоїдної кишені (Tyr511,</w:t>
      </w:r>
      <w:r>
        <w:t xml:space="preserve"> </w:t>
      </w:r>
      <w:r>
        <w:t xml:space="preserve">Ser512, Thr550, Glu570) [4,5]. Це підтверджує, що «власна топ-ранжована</w:t>
      </w:r>
      <w:r>
        <w:t xml:space="preserve"> </w:t>
      </w:r>
      <w:r>
        <w:t xml:space="preserve">кишеня fpocket» — валідне правило відбору перед його сліпим</w:t>
      </w:r>
      <w:r>
        <w:t xml:space="preserve"> </w:t>
      </w:r>
      <w:r>
        <w:t xml:space="preserve">застосуванням до кандидатних позамішеневих мішеней.</w:t>
      </w:r>
    </w:p>
    <w:p>
      <w:pPr>
        <w:pStyle w:val="BodyText"/>
      </w:pPr>
      <w:r>
        <w:t xml:space="preserve">Для кожного гена-кандидата найкраща доступна експериментальна структура</w:t>
      </w:r>
      <w:r>
        <w:t xml:space="preserve"> </w:t>
      </w:r>
      <w:r>
        <w:t xml:space="preserve">отримана через перехресні посилання UniProt на RCSB Protein Data Bank</w:t>
      </w:r>
      <w:r>
        <w:t xml:space="preserve"> </w:t>
      </w:r>
      <w:r>
        <w:t xml:space="preserve">[6,7], з перевагою найбільшого дозволеного протяжного ланцюга та</w:t>
      </w:r>
      <w:r>
        <w:t xml:space="preserve"> </w:t>
      </w:r>
      <w:r>
        <w:t xml:space="preserve">найкращої роздільної здатності. Кожна детектована кишеня описана</w:t>
      </w:r>
      <w:r>
        <w:t xml:space="preserve"> </w:t>
      </w:r>
      <w:r>
        <w:t xml:space="preserve">восьмидескрипторним «відбитком» (druggability score fpocket, об’єм,</w:t>
      </w:r>
      <w:r>
        <w:t xml:space="preserve"> </w:t>
      </w:r>
      <w:r>
        <w:t xml:space="preserve">hydrophobicity score, polarity score, charge score, частка полярних</w:t>
      </w:r>
      <w:r>
        <w:t xml:space="preserve"> </w:t>
      </w:r>
      <w:r>
        <w:t xml:space="preserve">атомів, частка аполярних альфа-сфер, середня локальна гідрофобна</w:t>
      </w:r>
      <w:r>
        <w:t xml:space="preserve"> </w:t>
      </w:r>
      <w:r>
        <w:t xml:space="preserve">щільність), нормалізованим за z-score по всіх кишенях усіх структур, і</w:t>
      </w:r>
      <w:r>
        <w:t xml:space="preserve"> </w:t>
      </w:r>
      <w:r>
        <w:t xml:space="preserve">порівняним з референсною кишенею TRPV1 за евклідовою відстанню та</w:t>
      </w:r>
      <w:r>
        <w:t xml:space="preserve"> </w:t>
      </w:r>
      <w:r>
        <w:t xml:space="preserve">косинусною подібністю. Для кожного кандидата обчислено два незалежних</w:t>
      </w:r>
      <w:r>
        <w:t xml:space="preserve"> </w:t>
      </w:r>
      <w:r>
        <w:t xml:space="preserve">ранжування — найкраще підходяща кишеня, знайдена будь-де на структурі, та</w:t>
      </w:r>
      <w:r>
        <w:t xml:space="preserve"> </w:t>
      </w:r>
      <w:r>
        <w:t xml:space="preserve">єдина кишеня, яку сам fpocket ранжує найвище (правило, провалідоване на</w:t>
      </w:r>
      <w:r>
        <w:t xml:space="preserve"> </w:t>
      </w:r>
      <w:r>
        <w:t xml:space="preserve">TRPV1) — щоб убезпечитися від упередження множинних порівнянь, яке</w:t>
      </w:r>
      <w:r>
        <w:t xml:space="preserve"> </w:t>
      </w:r>
      <w:r>
        <w:t xml:space="preserve">надає перевагу білкам з багатьма детектованими порожнинами.</w:t>
      </w:r>
    </w:p>
    <w:bookmarkEnd w:id="13"/>
    <w:bookmarkStart w:id="14" w:name="молекулярний-докінг"/>
    <w:p>
      <w:pPr>
        <w:pStyle w:val="Heading3"/>
      </w:pPr>
      <w:r>
        <w:t xml:space="preserve">2.4 Молекулярний докінг</w:t>
      </w:r>
    </w:p>
    <w:p>
      <w:pPr>
        <w:pStyle w:val="FirstParagraph"/>
      </w:pPr>
      <w:r>
        <w:t xml:space="preserve">Лігандами-кандидатами слугував той самий семикомпонентний референсний</w:t>
      </w:r>
      <w:r>
        <w:t xml:space="preserve"> </w:t>
      </w:r>
      <w:r>
        <w:t xml:space="preserve">ряд агоністів TRPV1, що вже використовувався для пілотного проєкту</w:t>
      </w:r>
      <w:r>
        <w:t xml:space="preserve"> </w:t>
      </w:r>
      <w:r>
        <w:t xml:space="preserve">групи з часу резиденції (resiniferatoxin, phenylacetylrinvanil, olvanil,</w:t>
      </w:r>
      <w:r>
        <w:t xml:space="preserve"> </w:t>
      </w:r>
      <w:r>
        <w:t xml:space="preserve">arvanil, rinvanil, capsaicin, nonivamide), що охоплює приблизно п’ять</w:t>
      </w:r>
      <w:r>
        <w:t xml:space="preserve"> </w:t>
      </w:r>
      <w:r>
        <w:t xml:space="preserve">порядків за EC50 на TRPV1 (значення EC50 зведені з відкритих джерел</w:t>
      </w:r>
      <w:r>
        <w:t xml:space="preserve"> </w:t>
      </w:r>
      <w:r>
        <w:t xml:space="preserve">літератури без підтвердження, що всі сім вимірювані в одному й тому ж</w:t>
      </w:r>
      <w:r>
        <w:t xml:space="preserve"> </w:t>
      </w:r>
      <w:r>
        <w:t xml:space="preserve">форматі assay — ряд використовується тут якісно, щоб охопити широкий</w:t>
      </w:r>
      <w:r>
        <w:t xml:space="preserve"> </w:t>
      </w:r>
      <w:r>
        <w:t xml:space="preserve">діапазон потужності, див. Обмеження). 3D-конформери лігандів згенеровано</w:t>
      </w:r>
      <w:r>
        <w:t xml:space="preserve"> </w:t>
      </w:r>
      <w:r>
        <w:t xml:space="preserve">з ізомерних SMILES за допомогою RDKit (ETKDGv3 embedding, оптимізація</w:t>
      </w:r>
      <w:r>
        <w:t xml:space="preserve"> </w:t>
      </w:r>
      <w:r>
        <w:t xml:space="preserve">MMFF) і підготовлено до докінгу за допомогою Meeko [8]. Структури</w:t>
      </w:r>
      <w:r>
        <w:t xml:space="preserve"> </w:t>
      </w:r>
      <w:r>
        <w:t xml:space="preserve">рецепторів для двох кандидатів, перенесених з п. 2.3/3.2 (MMP3 і RARG;</w:t>
      </w:r>
      <w:r>
        <w:t xml:space="preserve"> </w:t>
      </w:r>
      <w:r>
        <w:t xml:space="preserve">обґрунтування відбору кожного детально наведено в п. 3.2),</w:t>
      </w:r>
      <w:r>
        <w:t xml:space="preserve"> </w:t>
      </w:r>
      <w:r>
        <w:t xml:space="preserve">підготовлені за допомогою</w:t>
      </w:r>
      <w:r>
        <w:t xml:space="preserve"> </w:t>
      </w:r>
      <w:r>
        <w:rPr>
          <w:rStyle w:val="VerbatimChar"/>
        </w:rPr>
        <w:t xml:space="preserve">mk_prepare_receptor.py</w:t>
      </w:r>
      <w:r>
        <w:t xml:space="preserve"> </w:t>
      </w:r>
      <w:r>
        <w:t xml:space="preserve">з Meeko. Для RARG</w:t>
      </w:r>
      <w:r>
        <w:t xml:space="preserve"> </w:t>
      </w:r>
      <w:r>
        <w:t xml:space="preserve">використано PDB 6FX0 [19] (ланцюг A; та сама структура, відібрана в п. 3.2), з</w:t>
      </w:r>
      <w:r>
        <w:t xml:space="preserve"> </w:t>
      </w:r>
      <w:r>
        <w:t xml:space="preserve">боксом пошуку докінгу, центрованим на центроїді альфа-сфер відібраної</w:t>
      </w:r>
      <w:r>
        <w:t xml:space="preserve"> </w:t>
      </w:r>
      <w:r>
        <w:t xml:space="preserve">кишені (відступ 6 Å з кожного боку; центр (12.91, −8.71, −8.53) Å, розмір</w:t>
      </w:r>
      <w:r>
        <w:t xml:space="preserve"> </w:t>
      </w:r>
      <w:r>
        <w:t xml:space="preserve">22.3×19.7×19.8 Å). Для MMP3 структура, використана для початкового</w:t>
      </w:r>
      <w:r>
        <w:t xml:space="preserve"> </w:t>
      </w:r>
      <w:r>
        <w:t xml:space="preserve">fpocket-скринінгу (PDB 1SLM), — апо-форма (без ліганду); оскільки</w:t>
      </w:r>
      <w:r>
        <w:t xml:space="preserve"> </w:t>
      </w:r>
      <w:r>
        <w:t xml:space="preserve">точність докінгу для металопротеїнази залежить від збереження</w:t>
      </w:r>
      <w:r>
        <w:t xml:space="preserve"> </w:t>
      </w:r>
      <w:r>
        <w:t xml:space="preserve">каталітичного цинку, натомість використано holo-структуру PDB 1HFS [21]</w:t>
      </w:r>
      <w:r>
        <w:t xml:space="preserve"> </w:t>
      </w:r>
      <w:r>
        <w:t xml:space="preserve">(ланцюг A; роздільна здатність 1.70 Å, зі співкристалізованим</w:t>
      </w:r>
      <w:r>
        <w:t xml:space="preserve"> </w:t>
      </w:r>
      <w:r>
        <w:t xml:space="preserve">гідроксамовим інгібітором L04), зберігши всі розв’язані іони Zn²⁺ (n=2) і</w:t>
      </w:r>
      <w:r>
        <w:t xml:space="preserve"> </w:t>
      </w:r>
      <w:r>
        <w:t xml:space="preserve">Ca²⁺ (n=3) як жорстку частину рецептора та центрувавши бокс пошуку на</w:t>
      </w:r>
      <w:r>
        <w:t xml:space="preserve"> </w:t>
      </w:r>
      <w:r>
        <w:t xml:space="preserve">центроїді співкристалізованого ліганду (відступ 8 Å з кожного боку, щоб</w:t>
      </w:r>
      <w:r>
        <w:t xml:space="preserve"> </w:t>
      </w:r>
      <w:r>
        <w:t xml:space="preserve">вмістити ліганди більші за L04; центр (35.34, 36.10, 24.54) Å, розмір</w:t>
      </w:r>
      <w:r>
        <w:t xml:space="preserve"> </w:t>
      </w:r>
      <w:r>
        <w:t xml:space="preserve">25.7×19.6×21.4 Å). Докінг виконано за допомогою AutoDock Vina [9,26]</w:t>
      </w:r>
      <w:r>
        <w:t xml:space="preserve"> </w:t>
      </w:r>
      <w:r>
        <w:t xml:space="preserve">(exhaustiveness 32, 9 вихідних поз), з тими самими налаштуваннями, що вже</w:t>
      </w:r>
      <w:r>
        <w:t xml:space="preserve"> </w:t>
      </w:r>
      <w:r>
        <w:t xml:space="preserve">провалідовані для рецептора TRPV1 в докінг-пайплайні групи. Референсні</w:t>
      </w:r>
      <w:r>
        <w:t xml:space="preserve"> </w:t>
      </w:r>
      <w:r>
        <w:t xml:space="preserve">показники TRPV1 для тих самих семи лігандів взяті з уже існуючого</w:t>
      </w:r>
      <w:r>
        <w:t xml:space="preserve"> </w:t>
      </w:r>
      <w:r>
        <w:t xml:space="preserve">провалідованого прогону докінгу групи проти ванілоїдної кишені TRPV1 (PDB</w:t>
      </w:r>
      <w:r>
        <w:t xml:space="preserve"> </w:t>
      </w:r>
      <w:r>
        <w:t xml:space="preserve">11CK [22], ланцюги A+D, у комплексі з 6-йод-капсаїцином; бокс центровано на</w:t>
      </w:r>
      <w:r>
        <w:t xml:space="preserve"> </w:t>
      </w:r>
      <w:r>
        <w:t xml:space="preserve">міжсубодиничній ванілоїдній кишені).</w:t>
      </w:r>
    </w:p>
    <w:p>
      <w:pPr>
        <w:pStyle w:val="BodyText"/>
      </w:pPr>
      <w:r>
        <w:rPr>
          <w:b/>
          <w:bCs/>
        </w:rPr>
        <w:t xml:space="preserve">Валідація протоколу докінгу.</w:t>
      </w:r>
      <w:r>
        <w:t xml:space="preserve"> </w:t>
      </w:r>
      <w:r>
        <w:t xml:space="preserve">Оскільки перевірка відтворення кишені</w:t>
      </w:r>
      <w:r>
        <w:t xml:space="preserve"> </w:t>
      </w:r>
      <w:r>
        <w:t xml:space="preserve">TRPV1 (п. 2.3) валідує саме</w:t>
      </w:r>
      <w:r>
        <w:t xml:space="preserve"> </w:t>
      </w:r>
      <w:r>
        <w:rPr>
          <w:i/>
          <w:iCs/>
        </w:rPr>
        <w:t xml:space="preserve">детекцію</w:t>
      </w:r>
      <w:r>
        <w:t xml:space="preserve"> </w:t>
      </w:r>
      <w:r>
        <w:t xml:space="preserve">порожнини fpocket, а не окремо крок</w:t>
      </w:r>
      <w:r>
        <w:t xml:space="preserve"> </w:t>
      </w:r>
      <w:r>
        <w:t xml:space="preserve">докінгу, і оскільки MMP3 і RARG структурно неспоріднені з TRPV1</w:t>
      </w:r>
      <w:r>
        <w:t xml:space="preserve"> </w:t>
      </w:r>
      <w:r>
        <w:t xml:space="preserve">(відповідно цинкова металопротеїназа та ядерний гормональний рецептор,</w:t>
      </w:r>
      <w:r>
        <w:t xml:space="preserve"> </w:t>
      </w:r>
      <w:r>
        <w:t xml:space="preserve">на відміну від іонного каналу), протокол докінгу валідовано окремо для</w:t>
      </w:r>
      <w:r>
        <w:t xml:space="preserve"> </w:t>
      </w:r>
      <w:r>
        <w:t xml:space="preserve">кожної мішені: співкристалізований ліганд кожної структури (L04 для</w:t>
      </w:r>
      <w:r>
        <w:t xml:space="preserve"> </w:t>
      </w:r>
      <w:r>
        <w:t xml:space="preserve">1HFS; E9T для 6FX0 — обидва є PDB chemical component ID) побудований з його</w:t>
      </w:r>
      <w:r>
        <w:t xml:space="preserve"> </w:t>
      </w:r>
      <w:r>
        <w:t xml:space="preserve">канонічного SMILES (RCSB Chemical Component Dictionary) за допомогою</w:t>
      </w:r>
      <w:r>
        <w:t xml:space="preserve"> </w:t>
      </w:r>
      <w:r>
        <w:t xml:space="preserve">RDKit — незалежно згенерований конформер, а не кристалічні координати —</w:t>
      </w:r>
      <w:r>
        <w:t xml:space="preserve"> </w:t>
      </w:r>
      <w:r>
        <w:t xml:space="preserve">передокований у власну структуру за описаним вище боксом, а поза з</w:t>
      </w:r>
      <w:r>
        <w:t xml:space="preserve"> </w:t>
      </w:r>
      <w:r>
        <w:t xml:space="preserve">найкращим показником порівняна з кристалічною позою за RMSD важких</w:t>
      </w:r>
      <w:r>
        <w:t xml:space="preserve"> </w:t>
      </w:r>
      <w:r>
        <w:t xml:space="preserve">атомів після зіставлення топології (</w:t>
      </w:r>
      <w:r>
        <w:rPr>
          <w:rStyle w:val="VerbatimChar"/>
        </w:rPr>
        <w:t xml:space="preserve">docking/validate_redocking.py</w:t>
      </w:r>
      <w:r>
        <w:t xml:space="preserve">, уже</w:t>
      </w:r>
      <w:r>
        <w:t xml:space="preserve"> </w:t>
      </w:r>
      <w:r>
        <w:t xml:space="preserve">використаний для валідації TRPV1/11CK в</w:t>
      </w:r>
      <w:r>
        <w:t xml:space="preserve"> </w:t>
      </w:r>
      <w:r>
        <w:rPr>
          <w:rStyle w:val="VerbatimChar"/>
        </w:rPr>
        <w:t xml:space="preserve">docking/SMOKE_TEST.md</w:t>
      </w:r>
      <w:r>
        <w:t xml:space="preserve">).</w:t>
      </w:r>
      <w:r>
        <w:t xml:space="preserve"> </w:t>
      </w:r>
      <w:r>
        <w:t xml:space="preserve">Результати RMSD наведено в п. 3.3.</w:t>
      </w:r>
    </w:p>
    <w:bookmarkEnd w:id="14"/>
    <w:bookmarkStart w:id="15" w:name="Xf8bf3f67b864e014b7fb53757af8d9a5240487e"/>
    <w:p>
      <w:pPr>
        <w:pStyle w:val="Heading3"/>
      </w:pPr>
      <w:r>
        <w:t xml:space="preserve">2.5 Перевірка дискримінації на істинних даних</w:t>
      </w:r>
    </w:p>
    <w:p>
      <w:pPr>
        <w:pStyle w:val="FirstParagraph"/>
      </w:pPr>
      <w:r>
        <w:t xml:space="preserve">Порівняння між рецепторами в п. 2.4 запитує, чи отримують відомі</w:t>
      </w:r>
      <w:r>
        <w:t xml:space="preserve"> </w:t>
      </w:r>
      <w:r>
        <w:t xml:space="preserve">агоністи TRPV1 порівнянні показники на RARG/MMP3 і на самому TRPV1; воно</w:t>
      </w:r>
      <w:r>
        <w:t xml:space="preserve"> </w:t>
      </w:r>
      <w:r>
        <w:t xml:space="preserve">не встановлює, чи здатна скорингова функція Vina взагалі відрізняти</w:t>
      </w:r>
      <w:r>
        <w:t xml:space="preserve"> </w:t>
      </w:r>
      <w:r>
        <w:t xml:space="preserve">справжні зв’язувачі від незв’язувачів на RARG чи MMP3 — а це передумова</w:t>
      </w:r>
      <w:r>
        <w:t xml:space="preserve"> </w:t>
      </w:r>
      <w:r>
        <w:t xml:space="preserve">для довіри до того абсолютного порівняння між рецепторами. Щоб закрити</w:t>
      </w:r>
      <w:r>
        <w:t xml:space="preserve"> </w:t>
      </w:r>
      <w:r>
        <w:t xml:space="preserve">цей пробіл, відомі активні (≤1000 нМ) і неактивні (&gt;10000 нМ за</w:t>
      </w:r>
      <w:r>
        <w:t xml:space="preserve"> </w:t>
      </w:r>
      <w:r>
        <w:t xml:space="preserve">виміряним значенням, або відсутність зв’язування виявлена до ≥10000 нМ)</w:t>
      </w:r>
      <w:r>
        <w:t xml:space="preserve"> </w:t>
      </w:r>
      <w:r>
        <w:t xml:space="preserve">сполуки для RARG і MMP3 отримано з ChEMBL [23] (мішені CHEMBL2003 і</w:t>
      </w:r>
      <w:r>
        <w:t xml:space="preserve"> </w:t>
      </w:r>
      <w:r>
        <w:t xml:space="preserve">CHEMBL283 відповідно; усі записи активності з</w:t>
      </w:r>
      <w:r>
        <w:t xml:space="preserve"> </w:t>
      </w:r>
      <w:r>
        <w:rPr>
          <w:rStyle w:val="VerbatimChar"/>
        </w:rPr>
        <w:t xml:space="preserve">standard_type</w:t>
      </w:r>
      <w:r>
        <w:t xml:space="preserve"> </w:t>
      </w:r>
      <w:r>
        <w:t xml:space="preserve">серед</w:t>
      </w:r>
      <w:r>
        <w:t xml:space="preserve"> </w:t>
      </w:r>
      <w:r>
        <w:t xml:space="preserve">{IC50, EC50, Ki, Kd} і</w:t>
      </w:r>
      <w:r>
        <w:t xml:space="preserve"> </w:t>
      </w:r>
      <w:r>
        <w:rPr>
          <w:rStyle w:val="VerbatimChar"/>
        </w:rPr>
        <w:t xml:space="preserve">standard_units</w:t>
      </w:r>
      <w:r>
        <w:t xml:space="preserve"> </w:t>
      </w:r>
      <w:r>
        <w:t xml:space="preserve">= нМ). Для кожної мішені відібрано</w:t>
      </w:r>
      <w:r>
        <w:t xml:space="preserve"> </w:t>
      </w:r>
      <w:r>
        <w:t xml:space="preserve">30 активних сполук, що охоплюють діапазон потужності — а не лише</w:t>
      </w:r>
      <w:r>
        <w:t xml:space="preserve"> </w:t>
      </w:r>
      <w:r>
        <w:t xml:space="preserve">найпотужніші — і 30 неактивних, підібраних жадібним алгоритмом до цих</w:t>
      </w:r>
      <w:r>
        <w:t xml:space="preserve"> </w:t>
      </w:r>
      <w:r>
        <w:t xml:space="preserve">активних у стандартизованому просторі (молекулярна маса, розрахований</w:t>
      </w:r>
      <w:r>
        <w:t xml:space="preserve"> </w:t>
      </w:r>
      <w:r>
        <w:t xml:space="preserve">logP), щоб уникнути викривлення, зумовленого фізико-хімічними</w:t>
      </w:r>
      <w:r>
        <w:t xml:space="preserve"> </w:t>
      </w:r>
      <w:r>
        <w:t xml:space="preserve">властивостями. Кожну панель передоковано в ту саму структуру рецептора</w:t>
      </w:r>
      <w:r>
        <w:t xml:space="preserve"> </w:t>
      </w:r>
      <w:r>
        <w:t xml:space="preserve">та бокс, що використані в п. 2.4, тим самим пайплайном підготовки</w:t>
      </w:r>
      <w:r>
        <w:t xml:space="preserve"> </w:t>
      </w:r>
      <w:r>
        <w:t xml:space="preserve">лігандів RDKit/Meeko, і для кожної мішені обчислено ROC-AUC розділення</w:t>
      </w:r>
      <w:r>
        <w:t xml:space="preserve"> </w:t>
      </w:r>
      <w:r>
        <w:t xml:space="preserve">активних/неактивних за показником Vina.</w:t>
      </w:r>
    </w:p>
    <w:p>
      <w:pPr>
        <w:pStyle w:val="BodyText"/>
      </w:pPr>
      <w:r>
        <w:t xml:space="preserve">Оскільки результат крос-докінгу MMP3 залежить від збереження</w:t>
      </w:r>
      <w:r>
        <w:t xml:space="preserve"> </w:t>
      </w:r>
      <w:r>
        <w:t xml:space="preserve">каталітичного цинку (п. 2.4), панель для MMP3 додатково передоковано за</w:t>
      </w:r>
      <w:r>
        <w:t xml:space="preserve"> </w:t>
      </w:r>
      <w:r>
        <w:t xml:space="preserve">допомогою AutoDock4Zn (AD4Zn) [24] — силового поля, що явно представляє</w:t>
      </w:r>
      <w:r>
        <w:t xml:space="preserve"> </w:t>
      </w:r>
      <w:r>
        <w:t xml:space="preserve">координацію цинку через спрямовані тетраедричні псевдоатоми цинку,</w:t>
      </w:r>
      <w:r>
        <w:t xml:space="preserve"> </w:t>
      </w:r>
      <w:r>
        <w:t xml:space="preserve">запущеного через режим скорингу AD4 у Vina (</w:t>
      </w:r>
      <w:r>
        <w:rPr>
          <w:rStyle w:val="VerbatimChar"/>
        </w:rPr>
        <w:t xml:space="preserve">--scoring ad4</w:t>
      </w:r>
      <w:r>
        <w:t xml:space="preserve">) проти</w:t>
      </w:r>
      <w:r>
        <w:t xml:space="preserve"> </w:t>
      </w:r>
      <w:r>
        <w:t xml:space="preserve">карт спорідненості, обчислених AutoGrid4, замість власної скорингової</w:t>
      </w:r>
      <w:r>
        <w:t xml:space="preserve"> </w:t>
      </w:r>
      <w:r>
        <w:t xml:space="preserve">функції Vina. Підготовка рецептора додала псевдоатоми цинку</w:t>
      </w:r>
      <w:r>
        <w:t xml:space="preserve"> </w:t>
      </w:r>
      <w:r>
        <w:t xml:space="preserve">(</w:t>
      </w:r>
      <w:r>
        <w:rPr>
          <w:rStyle w:val="VerbatimChar"/>
        </w:rPr>
        <w:t xml:space="preserve">zinc_pseudo.py</w:t>
      </w:r>
      <w:r>
        <w:t xml:space="preserve">, що постачається разом з AutoDock-Vina) до того самого</w:t>
      </w:r>
      <w:r>
        <w:t xml:space="preserve"> </w:t>
      </w:r>
      <w:r>
        <w:t xml:space="preserve">Zn²⁺/Ca²⁺-вмісного рецептора, що використаний у п. 2.4; легкий власний</w:t>
      </w:r>
      <w:r>
        <w:t xml:space="preserve"> </w:t>
      </w:r>
      <w:r>
        <w:t xml:space="preserve">скрипт (</w:t>
      </w:r>
      <w:r>
        <w:rPr>
          <w:rStyle w:val="VerbatimChar"/>
        </w:rPr>
        <w:t xml:space="preserve">docking/prepare_gpf4zn_lite.py</w:t>
      </w:r>
      <w:r>
        <w:t xml:space="preserve">) писав файл параметрів</w:t>
      </w:r>
      <w:r>
        <w:t xml:space="preserve"> </w:t>
      </w:r>
      <w:r>
        <w:t xml:space="preserve">AutoGrid4 напряму, відтворюючи параметри розібраного прикладу з</w:t>
      </w:r>
      <w:r>
        <w:t xml:space="preserve"> </w:t>
      </w:r>
      <w:r>
        <w:t xml:space="preserve">документації AutoDock-Vina без застарілої залежності від</w:t>
      </w:r>
      <w:r>
        <w:t xml:space="preserve"> </w:t>
      </w:r>
      <w:r>
        <w:t xml:space="preserve">MolKit/AutoDockTools еталонного скрипту</w:t>
      </w:r>
      <w:r>
        <w:t xml:space="preserve"> </w:t>
      </w:r>
      <w:r>
        <w:rPr>
          <w:rStyle w:val="VerbatimChar"/>
        </w:rPr>
        <w:t xml:space="preserve">prepare_gpf4zn.py</w:t>
      </w:r>
      <w:r>
        <w:t xml:space="preserve">. Ліганди</w:t>
      </w:r>
      <w:r>
        <w:t xml:space="preserve"> </w:t>
      </w:r>
      <w:r>
        <w:t xml:space="preserve">підготовлено з жорстко зафіксованими макроциклічними кільцями</w:t>
      </w:r>
      <w:r>
        <w:t xml:space="preserve"> </w:t>
      </w:r>
      <w:r>
        <w:t xml:space="preserve">(</w:t>
      </w:r>
      <w:r>
        <w:rPr>
          <w:rStyle w:val="VerbatimChar"/>
        </w:rPr>
        <w:t xml:space="preserve">--rigid_macrocycles</w:t>
      </w:r>
      <w:r>
        <w:t xml:space="preserve">), оскільки типізація гнучких макроциклічних</w:t>
      </w:r>
      <w:r>
        <w:t xml:space="preserve"> </w:t>
      </w:r>
      <w:r>
        <w:t xml:space="preserve">лігандів Vina вводить синтетичні типи атомів, не представлені в</w:t>
      </w:r>
      <w:r>
        <w:t xml:space="preserve"> </w:t>
      </w:r>
      <w:r>
        <w:t xml:space="preserve">класичному наборі параметрів AD4Zn.</w:t>
      </w:r>
    </w:p>
    <w:bookmarkEnd w:id="15"/>
    <w:bookmarkStart w:id="16" w:name="X2b836956d717c9e2380dff159dcbe0c78ff9f16"/>
    <w:p>
      <w:pPr>
        <w:pStyle w:val="Heading3"/>
      </w:pPr>
      <w:r>
        <w:t xml:space="preserve">2.6 Кількісна перевірка локальної подібності кишені в межах родини паралогів</w:t>
      </w:r>
    </w:p>
    <w:p>
      <w:pPr>
        <w:pStyle w:val="FirstParagraph"/>
      </w:pPr>
      <w:r>
        <w:t xml:space="preserve">Твердження п. 2.1/3.1 — що ідентичність усього білка є поганим proxy для</w:t>
      </w:r>
      <w:r>
        <w:t xml:space="preserve"> </w:t>
      </w:r>
      <w:r>
        <w:t xml:space="preserve">ризику на рівні сайту зв’язування — спершу було суто якісним і</w:t>
      </w:r>
      <w:r>
        <w:t xml:space="preserve"> </w:t>
      </w:r>
      <w:r>
        <w:t xml:space="preserve">заякореним у літературі. Щоб перевірити його кількісно, не відтворивши</w:t>
      </w:r>
      <w:r>
        <w:t xml:space="preserve"> </w:t>
      </w:r>
      <w:r>
        <w:t xml:space="preserve">при цьому те саме обмеження «ідентичності всього білка», ми порівняли</w:t>
      </w:r>
      <w:r>
        <w:t xml:space="preserve"> </w:t>
      </w:r>
      <w:r>
        <w:t xml:space="preserve">локальні представлення саме залишків ванілоїдної кишені за допомогою</w:t>
      </w:r>
      <w:r>
        <w:t xml:space="preserve"> </w:t>
      </w:r>
      <w:r>
        <w:t xml:space="preserve">білкової мовної моделі ESM-2 [33]. Чотири залишки, що вистилають</w:t>
      </w:r>
      <w:r>
        <w:t xml:space="preserve"> </w:t>
      </w:r>
      <w:r>
        <w:t xml:space="preserve">ванілоїдну кишеню TRPV1 (Tyr511, Ser512, Thr550, Glu570; звірені з</w:t>
      </w:r>
      <w:r>
        <w:t xml:space="preserve"> </w:t>
      </w:r>
      <w:r>
        <w:t xml:space="preserve">канонічною послідовністю UniProt Q8NER1 [7]), зіставлено з відповідною</w:t>
      </w:r>
      <w:r>
        <w:t xml:space="preserve"> </w:t>
      </w:r>
      <w:r>
        <w:t xml:space="preserve">позицією кожного паралога (Q9Y5S1/TRPV2, Q8NET8/TRPV3, Q9HBA0/TRPV4,</w:t>
      </w:r>
      <w:r>
        <w:t xml:space="preserve"> </w:t>
      </w:r>
      <w:r>
        <w:t xml:space="preserve">Q9NQA5/TRPV5, Q9H1D0/TRPV6) глобальним парним вирівнюванням (Biopython,</w:t>
      </w:r>
      <w:r>
        <w:t xml:space="preserve"> </w:t>
      </w:r>
      <w:r>
        <w:t xml:space="preserve">матриця BLOSUM62) [34], а не за номером залишку. Усі чотири позиції</w:t>
      </w:r>
      <w:r>
        <w:t xml:space="preserve"> </w:t>
      </w:r>
      <w:r>
        <w:t xml:space="preserve">розташовані в сильно консервативному локальному мотиві в кожному</w:t>
      </w:r>
      <w:r>
        <w:t xml:space="preserve"> </w:t>
      </w:r>
      <w:r>
        <w:t xml:space="preserve">паралозі (наприклад, вікно T550 у TRPV1</w:t>
      </w:r>
      <w:r>
        <w:t xml:space="preserve"> </w:t>
      </w:r>
      <w:r>
        <w:rPr>
          <w:rStyle w:val="VerbatimChar"/>
        </w:rPr>
        <w:t xml:space="preserve">LALGW[T]NMLYY</w:t>
      </w:r>
      <w:r>
        <w:t xml:space="preserve"> </w:t>
      </w:r>
      <w:r>
        <w:t xml:space="preserve">проти</w:t>
      </w:r>
      <w:r>
        <w:t xml:space="preserve"> </w:t>
      </w:r>
      <w:r>
        <w:rPr>
          <w:rStyle w:val="VerbatimChar"/>
        </w:rPr>
        <w:t xml:space="preserve">LVLGW[M]NALYF</w:t>
      </w:r>
      <w:r>
        <w:t xml:space="preserve"> </w:t>
      </w:r>
      <w:r>
        <w:t xml:space="preserve">у TRPV4), тож достовірність вирівнювання висока; реальний</w:t>
      </w:r>
      <w:r>
        <w:t xml:space="preserve"> </w:t>
      </w:r>
      <w:r>
        <w:t xml:space="preserve">пропуск має лише TRPV6 (немає вирівняного залишку для S512). Для кожної</w:t>
      </w:r>
      <w:r>
        <w:t xml:space="preserve"> </w:t>
      </w:r>
      <w:r>
        <w:t xml:space="preserve">повної послідовності виконано один прямий прохід моделі</w:t>
      </w:r>
      <w:r>
        <w:t xml:space="preserve"> </w:t>
      </w:r>
      <w:r>
        <w:rPr>
          <w:rStyle w:val="VerbatimChar"/>
        </w:rPr>
        <w:t xml:space="preserve">esm2_t33_650M_UR50D</w:t>
      </w:r>
      <w:r>
        <w:t xml:space="preserve"> </w:t>
      </w:r>
      <w:r>
        <w:t xml:space="preserve">— щоб представлення кожного залишку несло</w:t>
      </w:r>
      <w:r>
        <w:t xml:space="preserve"> </w:t>
      </w:r>
      <w:r>
        <w:t xml:space="preserve">справжній послідовнісний контекст, а не вирваний пептидний фрагмент;</w:t>
      </w:r>
      <w:r>
        <w:t xml:space="preserve"> </w:t>
      </w:r>
      <w:r>
        <w:t xml:space="preserve">порезидуальні представлення останнього шару усереднено у вікні ±2</w:t>
      </w:r>
      <w:r>
        <w:t xml:space="preserve"> </w:t>
      </w:r>
      <w:r>
        <w:t xml:space="preserve">залишки навколо кожної з чотирьох позицій і конкатеновано в один</w:t>
      </w:r>
      <w:r>
        <w:t xml:space="preserve"> </w:t>
      </w:r>
      <w:r>
        <w:t xml:space="preserve">локальний вектор кишені на білок. Подібність до TRPV1 обчислено як</w:t>
      </w:r>
      <w:r>
        <w:t xml:space="preserve"> </w:t>
      </w:r>
      <w:r>
        <w:t xml:space="preserve">косинусну подібність</w:t>
      </w:r>
      <w:r>
        <w:t xml:space="preserve"> </w:t>
      </w:r>
      <w:r>
        <w:rPr>
          <w:b/>
          <w:bCs/>
        </w:rPr>
        <w:t xml:space="preserve">лише по позиціях, вирівняних в обох білках</w:t>
      </w:r>
      <w:r>
        <w:t xml:space="preserve"> </w:t>
      </w:r>
      <w:r>
        <w:t xml:space="preserve">(TRPV6: 3 з 4; решта: 4 з 4). Паралельно, тим самим способом, обчислено</w:t>
      </w:r>
      <w:r>
        <w:t xml:space="preserve"> </w:t>
      </w:r>
      <w:r>
        <w:t xml:space="preserve">косинусну подібність усереднених по всій послідовності векторів — як</w:t>
      </w:r>
      <w:r>
        <w:t xml:space="preserve"> </w:t>
      </w:r>
      <w:r>
        <w:t xml:space="preserve">явний негативний контроль, який, за передбаченням, дискримінувати не</w:t>
      </w:r>
      <w:r>
        <w:t xml:space="preserve"> </w:t>
      </w:r>
      <w:r>
        <w:t xml:space="preserve">повинен.</w:t>
      </w:r>
    </w:p>
    <w:bookmarkEnd w:id="16"/>
    <w:bookmarkEnd w:id="17"/>
    <w:bookmarkStart w:id="23" w:name="результати"/>
    <w:p>
      <w:pPr>
        <w:pStyle w:val="Heading2"/>
      </w:pPr>
      <w:r>
        <w:t xml:space="preserve">3. Результати</w:t>
      </w:r>
    </w:p>
    <w:bookmarkStart w:id="18" w:name="Xea13103341099530303bfa33d2fb5a416e7fcd6"/>
    <w:p>
      <w:pPr>
        <w:pStyle w:val="Heading3"/>
      </w:pPr>
      <w:r>
        <w:t xml:space="preserve">3.1 Родина паралогів TRPV1: консервативність сайту зв’язування не передбачається ідентичністю всього білка</w:t>
      </w:r>
    </w:p>
    <w:p>
      <w:pPr>
        <w:pStyle w:val="FirstParagraph"/>
      </w:pPr>
      <w:r>
        <w:t xml:space="preserve">Таблиця 1 підсумовує ідентичність послідовності до TRPV1 та пов’язаний</w:t>
      </w:r>
      <w:r>
        <w:t xml:space="preserve"> </w:t>
      </w:r>
      <w:r>
        <w:t xml:space="preserve">потенційний ризик безпеки для кожного паралога. Помітні дві поправки до наївного</w:t>
      </w:r>
      <w:r>
        <w:t xml:space="preserve"> </w:t>
      </w:r>
      <w:r>
        <w:t xml:space="preserve">прочитання, ранжованого за ідентичністю. По-перше, за літературними</w:t>
      </w:r>
      <w:r>
        <w:t xml:space="preserve"> </w:t>
      </w:r>
      <w:r>
        <w:t xml:space="preserve">даними, регіон ванілоїдної кишені (утворений S3/S4/лінкером S4–S5 однієї</w:t>
      </w:r>
      <w:r>
        <w:t xml:space="preserve"> </w:t>
      </w:r>
      <w:r>
        <w:t xml:space="preserve">субодиниці та S5/S6 сусідньої субодиниці) структурно та за</w:t>
      </w:r>
      <w:r>
        <w:t xml:space="preserve"> </w:t>
      </w:r>
      <w:r>
        <w:t xml:space="preserve">послідовністю консервативний саме серед TRPV1, TRPV2 і TRPV3 — настільки,</w:t>
      </w:r>
      <w:r>
        <w:t xml:space="preserve"> </w:t>
      </w:r>
      <w:r>
        <w:t xml:space="preserve">що цей регіон експериментально «пересаджуваний» між ортологами і</w:t>
      </w:r>
      <w:r>
        <w:t xml:space="preserve"> </w:t>
      </w:r>
      <w:r>
        <w:t xml:space="preserve">надає ванілоїдну чутливість інакше нечутливим каналам [5,10,25]. Це означає,</w:t>
      </w:r>
      <w:r>
        <w:t xml:space="preserve"> </w:t>
      </w:r>
      <w:r>
        <w:t xml:space="preserve">що реальний ризик кишені у TRPV2 і TRPV3 може перевищувати те, на що</w:t>
      </w:r>
      <w:r>
        <w:t xml:space="preserve"> </w:t>
      </w:r>
      <w:r>
        <w:t xml:space="preserve">натякає ідентичність усього білка (45.0% і 39.0% відповідно). По-друге,</w:t>
      </w:r>
      <w:r>
        <w:t xml:space="preserve"> </w:t>
      </w:r>
      <w:r>
        <w:t xml:space="preserve">TRPV4 (ідентичність 41.9%) досягає природної селективності проти</w:t>
      </w:r>
      <w:r>
        <w:t xml:space="preserve"> </w:t>
      </w:r>
      <w:r>
        <w:t xml:space="preserve">ванілоїдів через точкові заміни всередині загалом схожої архітектури</w:t>
      </w:r>
      <w:r>
        <w:t xml:space="preserve"> </w:t>
      </w:r>
      <w:r>
        <w:t xml:space="preserve">кишені [10], а його клінічний антагоніст GSK2798745 при повторному</w:t>
      </w:r>
      <w:r>
        <w:t xml:space="preserve"> </w:t>
      </w:r>
      <w:r>
        <w:t xml:space="preserve">дозуванні у пацієнтів зі стабільною серцевою недостатністю (до 7 діб)</w:t>
      </w:r>
      <w:r>
        <w:t xml:space="preserve"> </w:t>
      </w:r>
      <w:r>
        <w:t xml:space="preserve">переносився без значущих проблем безпеки чи серйозних побічних явищ</w:t>
      </w:r>
      <w:r>
        <w:t xml:space="preserve"> </w:t>
      </w:r>
      <w:r>
        <w:t xml:space="preserve">[11] — попри те, що системна</w:t>
      </w:r>
      <w:r>
        <w:t xml:space="preserve"> </w:t>
      </w:r>
      <w:r>
        <w:rPr>
          <w:i/>
          <w:iCs/>
        </w:rPr>
        <w:t xml:space="preserve">активація</w:t>
      </w:r>
      <w:r>
        <w:t xml:space="preserve"> </w:t>
      </w:r>
      <w:r>
        <w:t xml:space="preserve">TRPV4 окремо викликає</w:t>
      </w:r>
      <w:r>
        <w:t xml:space="preserve"> </w:t>
      </w:r>
      <w:r>
        <w:t xml:space="preserve">ендотеліальну недостатність і циркуляторний колапс у доклінічних</w:t>
      </w:r>
      <w:r>
        <w:t xml:space="preserve"> </w:t>
      </w:r>
      <w:r>
        <w:t xml:space="preserve">моделях [29], що вказує на</w:t>
      </w:r>
      <w:r>
        <w:t xml:space="preserve"> </w:t>
      </w:r>
      <w:r>
        <w:t xml:space="preserve">залежність клінічно значущого потенційного ризику безпеки від напрямку</w:t>
      </w:r>
      <w:r>
        <w:t xml:space="preserve"> </w:t>
      </w:r>
      <w:r>
        <w:t xml:space="preserve">ефекту: позамішенева дія антагоніста скоріше протективна, ніж причинна.</w:t>
      </w:r>
      <w:r>
        <w:t xml:space="preserve"> </w:t>
      </w:r>
      <w:r>
        <w:t xml:space="preserve">TRPV5 і TRPV6 (ідентичність 28.4% і 27.2%), навпаки, — Ca²⁺-селективні</w:t>
      </w:r>
      <w:r>
        <w:t xml:space="preserve"> </w:t>
      </w:r>
      <w:r>
        <w:t xml:space="preserve">канали з іншою архітектурою пори; їхня низька ідентичність усього білка</w:t>
      </w:r>
      <w:r>
        <w:t xml:space="preserve"> </w:t>
      </w:r>
      <w:r>
        <w:t xml:space="preserve">правдоподібно дійсно відображає реальну дивергенцію на рівні кишені.</w:t>
      </w:r>
      <w:r>
        <w:t xml:space="preserve"> </w:t>
      </w:r>
      <w:r>
        <w:t xml:space="preserve">TRPV6 несе найбільш системно значущий потенційний ризик безпеки при</w:t>
      </w:r>
      <w:r>
        <w:t xml:space="preserve"> </w:t>
      </w:r>
      <w:r>
        <w:t xml:space="preserve">позамішеневій дії:</w:t>
      </w:r>
      <w:r>
        <w:t xml:space="preserve"> </w:t>
      </w:r>
      <w:r>
        <w:t xml:space="preserve">у нокаутних мишей — порушене всмоктування Ca²⁺ у кишечнику, знижена</w:t>
      </w:r>
      <w:r>
        <w:t xml:space="preserve"> </w:t>
      </w:r>
      <w:r>
        <w:t xml:space="preserve">мінеральна щільність кісток, алопеція/дерматит, тяжко порушена</w:t>
      </w:r>
      <w:r>
        <w:t xml:space="preserve"> </w:t>
      </w:r>
      <w:r>
        <w:t xml:space="preserve">фертильність самців [12].</w:t>
      </w:r>
    </w:p>
    <w:p>
      <w:pPr>
        <w:pStyle w:val="BodyText"/>
      </w:pPr>
      <w:r>
        <w:rPr>
          <w:b/>
          <w:bCs/>
        </w:rPr>
        <w:t xml:space="preserve">Таблиця 1.</w:t>
      </w:r>
      <w:r>
        <w:t xml:space="preserve"> </w:t>
      </w:r>
      <w:r>
        <w:t xml:space="preserve">Родина паралогів TRPV1: ідентичність послідовності та</w:t>
      </w:r>
      <w:r>
        <w:t xml:space="preserve"> </w:t>
      </w:r>
      <w:r>
        <w:t xml:space="preserve">потенційний ризик безпеки при позамішеневій дії.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Паралог</w:t>
            </w:r>
          </w:p>
        </w:tc>
        <w:tc>
          <w:tcPr/>
          <w:p>
            <w:pPr>
              <w:pStyle w:val="Compact"/>
            </w:pPr>
            <w:r>
              <w:t xml:space="preserve">Ідентичність до TRPV1</w:t>
            </w:r>
          </w:p>
        </w:tc>
        <w:tc>
          <w:tcPr/>
          <w:p>
            <w:pPr>
              <w:pStyle w:val="Compact"/>
            </w:pPr>
            <w:r>
              <w:t xml:space="preserve">Потенційний ризик безпеки при позамішеневій дії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TRPV2</w:t>
            </w:r>
          </w:p>
        </w:tc>
        <w:tc>
          <w:tcPr/>
          <w:p>
            <w:pPr>
              <w:pStyle w:val="Compact"/>
            </w:pPr>
            <w:r>
              <w:t xml:space="preserve">45.0%</w:t>
            </w:r>
          </w:p>
        </w:tc>
        <w:tc>
          <w:tcPr/>
          <w:p>
            <w:pPr>
              <w:pStyle w:val="Compact"/>
            </w:pPr>
            <w:r>
              <w:t xml:space="preserve">Роль у розвитку серця, пов’язана з обробкою Ca²⁺; у дорослих повний нокаут і дозування нейтралізуючими антитілами не дають явного фенотипу [13,14].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TRPV4</w:t>
            </w:r>
          </w:p>
        </w:tc>
        <w:tc>
          <w:tcPr/>
          <w:p>
            <w:pPr>
              <w:pStyle w:val="Compact"/>
            </w:pPr>
            <w:r>
              <w:t xml:space="preserve">41.9%</w:t>
            </w:r>
          </w:p>
        </w:tc>
        <w:tc>
          <w:tcPr/>
          <w:p>
            <w:pPr>
              <w:pStyle w:val="Compact"/>
            </w:pPr>
            <w:r>
              <w:t xml:space="preserve">Залежить від напрямку ефекту: системна активація викликає ендотеліальну недостатність і циркуляторний колапс у доклінічних моделях [29], тоді як клінічний антагоніст (GSK2798745) у дослідженні «перше введення людині» переносився без значущих проблем безпеки чи серйозних побічних явищ у здорових добровольців і пацієнтів зі стабільною серцевою недостатністю (дозування до 7 діб) [11].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TRPV3</w:t>
            </w:r>
          </w:p>
        </w:tc>
        <w:tc>
          <w:tcPr/>
          <w:p>
            <w:pPr>
              <w:pStyle w:val="Compact"/>
            </w:pPr>
            <w:r>
              <w:t xml:space="preserve">39.0%</w:t>
            </w:r>
          </w:p>
        </w:tc>
        <w:tc>
          <w:tcPr/>
          <w:p>
            <w:pPr>
              <w:pStyle w:val="Compact"/>
            </w:pPr>
            <w:r>
              <w:t xml:space="preserve">Розділяє з TRPV1 топічний сайт дії; мутації gain-of-function у людини спричиняють синдром Олмстеда (болісна кератодермія, свербіж, порушення шкірного бар’єру) [15].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TRPV5</w:t>
            </w:r>
          </w:p>
        </w:tc>
        <w:tc>
          <w:tcPr/>
          <w:p>
            <w:pPr>
              <w:pStyle w:val="Compact"/>
            </w:pPr>
            <w:r>
              <w:t xml:space="preserve">28.4%</w:t>
            </w:r>
          </w:p>
        </w:tc>
        <w:tc>
          <w:tcPr/>
          <w:p>
            <w:pPr>
              <w:pStyle w:val="Compact"/>
            </w:pPr>
            <w:r>
              <w:t xml:space="preserve">Лімітуючий канал реабсорбції Ca²⁺ у дистальному канальці нирки: нокаутні мишi демонструють втрату Ca²⁺ з сечею, компенсаторну гіперабсорбцію в кишечнику та зниження товщини кістки [28]; правдоподібний ризик гіперкальціурії при інгібуванні.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TRPV6</w:t>
            </w:r>
          </w:p>
        </w:tc>
        <w:tc>
          <w:tcPr/>
          <w:p>
            <w:pPr>
              <w:pStyle w:val="Compact"/>
            </w:pPr>
            <w:r>
              <w:t xml:space="preserve">27.2%</w:t>
            </w:r>
          </w:p>
        </w:tc>
        <w:tc>
          <w:tcPr/>
          <w:p>
            <w:pPr>
              <w:pStyle w:val="Compact"/>
            </w:pPr>
            <w:r>
              <w:t xml:space="preserve">Найбільш значущий паралог: нокаут показує порушене всмоктування Ca²⁺ у кишечнику, знижену мінеральну щільність кісток, алопецію/дерматит, тяжку чоловічу неплідність [12].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TRPA1</w:t>
            </w:r>
          </w:p>
        </w:tc>
        <w:tc>
          <w:tcPr/>
          <w:p>
            <w:pPr>
              <w:pStyle w:val="Compact"/>
            </w:pPr>
            <w:r>
              <w:t xml:space="preserve">н/д (не паралог за послідовністю)</w:t>
            </w:r>
          </w:p>
        </w:tc>
        <w:tc>
          <w:tcPr/>
          <w:p>
            <w:pPr>
              <w:pStyle w:val="Compact"/>
            </w:pPr>
            <w:r>
              <w:t xml:space="preserve">Селективний антагоніст LY3526318 випробувано у трьох рандомізованих плацебо-контрольованих дослідженнях proof-of-concept (біль при остеоартриті коліна, хронічний біль у нижній частині спини, діабетичний периферичний нейропатичний біль): первинна кінцева точка не досягнута в жодному (чисельне покращення лише при хронічному болю в спині), і виявлено потенційний лікарсько-індукований гепатотоксичний ефект, що становить ризик для клінічної розробки [16].</w:t>
            </w:r>
          </w:p>
        </w:tc>
      </w:tr>
    </w:tbl>
    <w:bookmarkEnd w:id="18"/>
    <w:bookmarkStart w:id="19" w:name="X590ac3fdc3ae0b934e5137d1dca10cdcb48261e"/>
    <w:p>
      <w:pPr>
        <w:pStyle w:val="Heading3"/>
      </w:pPr>
      <w:r>
        <w:t xml:space="preserve">3.2 Структурний скринінг виявляє три кандидати поза родиною TRPV/TRPA</w:t>
      </w:r>
    </w:p>
    <w:p>
      <w:pPr>
        <w:pStyle w:val="FirstParagraph"/>
      </w:pPr>
      <w:r>
        <w:t xml:space="preserve">Числа кандидатів проходили пайплайн так: за фільтром експресії виявлено</w:t>
      </w:r>
      <w:r>
        <w:t xml:space="preserve"> </w:t>
      </w:r>
      <w:r>
        <w:rPr>
          <w:b/>
          <w:bCs/>
        </w:rPr>
        <w:t xml:space="preserve">604</w:t>
      </w:r>
      <w:r>
        <w:t xml:space="preserve"> </w:t>
      </w:r>
      <w:r>
        <w:t xml:space="preserve">гени, специфічні для тканини шкіри;</w:t>
      </w:r>
      <w:r>
        <w:t xml:space="preserve"> </w:t>
      </w:r>
      <w:r>
        <w:rPr>
          <w:b/>
          <w:bCs/>
        </w:rPr>
        <w:t xml:space="preserve">486</w:t>
      </w:r>
      <w:r>
        <w:t xml:space="preserve"> </w:t>
      </w:r>
      <w:r>
        <w:t xml:space="preserve">з них не мали</w:t>
      </w:r>
      <w:r>
        <w:t xml:space="preserve"> </w:t>
      </w:r>
      <w:r>
        <w:t xml:space="preserve">анотації target-class в Open Targets і були виключені як переважно</w:t>
      </w:r>
      <w:r>
        <w:t xml:space="preserve"> </w:t>
      </w:r>
      <w:r>
        <w:t xml:space="preserve">структурні/бар’єрні білки без фармакологічної кишені, залишилося</w:t>
      </w:r>
      <w:r>
        <w:t xml:space="preserve"> </w:t>
      </w:r>
      <w:r>
        <w:rPr>
          <w:b/>
          <w:bCs/>
        </w:rPr>
        <w:t xml:space="preserve">118</w:t>
      </w:r>
      <w:r>
        <w:t xml:space="preserve">; з них</w:t>
      </w:r>
      <w:r>
        <w:t xml:space="preserve"> </w:t>
      </w:r>
      <w:r>
        <w:rPr>
          <w:b/>
          <w:bCs/>
        </w:rPr>
        <w:t xml:space="preserve">26</w:t>
      </w:r>
      <w:r>
        <w:t xml:space="preserve"> </w:t>
      </w:r>
      <w:r>
        <w:t xml:space="preserve">генів мали підтверджені докази</w:t>
      </w:r>
      <w:r>
        <w:t xml:space="preserve"> </w:t>
      </w:r>
      <w:r>
        <w:t xml:space="preserve">лиганд-зв’язувальної кишені (ярус найвищої достовірності) і були</w:t>
      </w:r>
      <w:r>
        <w:t xml:space="preserve"> </w:t>
      </w:r>
      <w:r>
        <w:t xml:space="preserve">перенесені до порівняння кишень; звірка двох незалежних методів</w:t>
      </w:r>
      <w:r>
        <w:t xml:space="preserve"> </w:t>
      </w:r>
      <w:r>
        <w:t xml:space="preserve">ранжування з відомою біологією (нижче) звузила це до</w:t>
      </w:r>
      <w:r>
        <w:t xml:space="preserve"> </w:t>
      </w:r>
      <w:r>
        <w:rPr>
          <w:b/>
          <w:bCs/>
        </w:rPr>
        <w:t xml:space="preserve">3</w:t>
      </w:r>
      <w:r>
        <w:t xml:space="preserve"> </w:t>
      </w:r>
      <w:r>
        <w:t xml:space="preserve">відібраних</w:t>
      </w:r>
      <w:r>
        <w:t xml:space="preserve"> </w:t>
      </w:r>
      <w:r>
        <w:t xml:space="preserve">кандидатів (Рисунок 1,</w:t>
      </w:r>
      <w:r>
        <w:t xml:space="preserve"> </w:t>
      </w:r>
      <w:r>
        <w:rPr>
          <w:rStyle w:val="VerbatimChar"/>
        </w:rPr>
        <w:t xml:space="preserve">figures/pipeline_funnel.png</w:t>
      </w:r>
      <w:r>
        <w:t xml:space="preserve">).</w:t>
      </w:r>
    </w:p>
    <w:p>
      <w:pPr>
        <w:pStyle w:val="BodyText"/>
      </w:pPr>
      <w:r>
        <w:t xml:space="preserve">Відбір кандидатів використовував два окремих, явно розділених механізми</w:t>
      </w:r>
      <w:r>
        <w:t xml:space="preserve"> </w:t>
      </w:r>
      <w:r>
        <w:t xml:space="preserve">замість одного ранжування, і жоден з них не був поінформований</w:t>
      </w:r>
      <w:r>
        <w:t xml:space="preserve"> </w:t>
      </w:r>
      <w:r>
        <w:t xml:space="preserve">подальшим результатом докінгу з п. 3.3/3.4 — обидва зафіксовані до</w:t>
      </w:r>
      <w:r>
        <w:t xml:space="preserve"> </w:t>
      </w:r>
      <w:r>
        <w:t xml:space="preserve">запуску будь-якого докінгу. Перший — суто обчислювальний: три гени —</w:t>
      </w:r>
      <w:r>
        <w:t xml:space="preserve"> </w:t>
      </w:r>
      <w:r>
        <w:t xml:space="preserve">MMP3, NTF4 і BLMH — опинилися близько до вершини незалежно</w:t>
      </w:r>
      <w:r>
        <w:t xml:space="preserve"> </w:t>
      </w:r>
      <w:r>
        <w:t xml:space="preserve">від того, який із двох методів порівняння (найкраща кишеня будь-де vs.</w:t>
      </w:r>
      <w:r>
        <w:t xml:space="preserve"> </w:t>
      </w:r>
      <w:r>
        <w:t xml:space="preserve">власна топ-ранжована кишеня fpocket) використовувався. Кожен відібраний</w:t>
      </w:r>
      <w:r>
        <w:t xml:space="preserve"> </w:t>
      </w:r>
      <w:r>
        <w:t xml:space="preserve">кандидат перевірено на відповідність відомій біології, щоб відрізнити</w:t>
      </w:r>
      <w:r>
        <w:t xml:space="preserve"> </w:t>
      </w:r>
      <w:r>
        <w:t xml:space="preserve">справжню кишеню для малої молекули від імовірного артефакту детекції</w:t>
      </w:r>
      <w:r>
        <w:t xml:space="preserve"> </w:t>
      </w:r>
      <w:r>
        <w:t xml:space="preserve">(наприклад, поверхні білок-білкової взаємодії або конформаційної</w:t>
      </w:r>
      <w:r>
        <w:t xml:space="preserve"> </w:t>
      </w:r>
      <w:r>
        <w:t xml:space="preserve">борозни серпіну, жодна з яких не функціонує через класичне зайняття</w:t>
      </w:r>
      <w:r>
        <w:t xml:space="preserve"> </w:t>
      </w:r>
      <w:r>
        <w:t xml:space="preserve">кишені малою молекулою). MMP3 (стромелізин-1) має реальну, з високою</w:t>
      </w:r>
      <w:r>
        <w:t xml:space="preserve"> </w:t>
      </w:r>
      <w:r>
        <w:t xml:space="preserve">придатністю до фармакологічного модулювання (druggability 0.839),</w:t>
      </w:r>
      <w:r>
        <w:t xml:space="preserve"> </w:t>
      </w:r>
      <w:r>
        <w:t xml:space="preserve">гідрофобну Zn-залежну каталітичну кишеню і незалежно пов’язана з</w:t>
      </w:r>
      <w:r>
        <w:t xml:space="preserve"> </w:t>
      </w:r>
      <w:r>
        <w:t xml:space="preserve">ремоделюванням позаклітинного матриксу шкіри. Другий механізм —</w:t>
      </w:r>
      <w:r>
        <w:t xml:space="preserve"> </w:t>
      </w:r>
      <w:r>
        <w:t xml:space="preserve">пріоритизація, інформована біологією, застосована до повного переліку з</w:t>
      </w:r>
      <w:r>
        <w:t xml:space="preserve"> </w:t>
      </w:r>
      <w:r>
        <w:t xml:space="preserve">26 генів, а не лише до обчислювальної трійки-топ: RARG не лідирував за</w:t>
      </w:r>
      <w:r>
        <w:t xml:space="preserve"> </w:t>
      </w:r>
      <w:r>
        <w:t xml:space="preserve">жодним з двох ранжувань за відстанню (об’єм його кишені перевищує</w:t>
      </w:r>
      <w:r>
        <w:t xml:space="preserve"> </w:t>
      </w:r>
      <w:r>
        <w:t xml:space="preserve">TRPV1-овий, що штрафує метрику евклідової відстані), але має майже</w:t>
      </w:r>
      <w:r>
        <w:t xml:space="preserve"> </w:t>
      </w:r>
      <w:r>
        <w:t xml:space="preserve">максимальну druggability (0.982) і високу косинусну подібність (0.899), і</w:t>
      </w:r>
      <w:r>
        <w:t xml:space="preserve"> </w:t>
      </w:r>
      <w:r>
        <w:t xml:space="preserve">був підвищений у пріоритеті на незалежних біологічних підставах нижче —</w:t>
      </w:r>
      <w:r>
        <w:t xml:space="preserve"> </w:t>
      </w:r>
      <w:r>
        <w:t xml:space="preserve">фіксовані критерії (схвалений топічний препарат, що вже займає кишеню</w:t>
      </w:r>
      <w:r>
        <w:t xml:space="preserve"> </w:t>
      </w:r>
      <w:r>
        <w:t xml:space="preserve">кандидата в тій самій анатомічній ділянці), застосовані до переліку</w:t>
      </w:r>
      <w:r>
        <w:t xml:space="preserve"> </w:t>
      </w:r>
      <w:r>
        <w:t xml:space="preserve">заздалегідь, а не відібрані після отримання сприятливого результату</w:t>
      </w:r>
      <w:r>
        <w:t xml:space="preserve"> </w:t>
      </w:r>
      <w:r>
        <w:t xml:space="preserve">докінгу. Його клінічну релевантність сильно підтримує сама структура, використана для</w:t>
      </w:r>
      <w:r>
        <w:t xml:space="preserve"> </w:t>
      </w:r>
      <w:r>
        <w:t xml:space="preserve">цього порівняння: PDB 6FX0 — це структура RARγ, отримана в межах</w:t>
      </w:r>
      <w:r>
        <w:t xml:space="preserve"> </w:t>
      </w:r>
      <w:r>
        <w:t xml:space="preserve">медично-хімічної програми, що привела до трифаротену (CD5789) —</w:t>
      </w:r>
      <w:r>
        <w:t xml:space="preserve"> </w:t>
      </w:r>
      <w:r>
        <w:t xml:space="preserve">RARγ-селективного топічного ретиноїду, схваленого для лікування акне</w:t>
      </w:r>
      <w:r>
        <w:t xml:space="preserve"> </w:t>
      </w:r>
      <w:r>
        <w:t xml:space="preserve">[19], а співкристалізований ліганд (компонент PDB E9T) має той самий</w:t>
      </w:r>
      <w:r>
        <w:t xml:space="preserve"> </w:t>
      </w:r>
      <w:r>
        <w:t xml:space="preserve">адамантил-нафтоєвокислотний каркас, що й трифаротен. Тазаротен —</w:t>
      </w:r>
      <w:r>
        <w:t xml:space="preserve"> </w:t>
      </w:r>
      <w:r>
        <w:t xml:space="preserve">старіший, топічно застосовуваний RARβ/γ-модулюючий пролік, схвалений для</w:t>
      </w:r>
      <w:r>
        <w:t xml:space="preserve"> </w:t>
      </w:r>
      <w:r>
        <w:t xml:space="preserve">псоріазу та акне, — другий, менш рецептор-селективний прецедент того ж</w:t>
      </w:r>
      <w:r>
        <w:t xml:space="preserve"> </w:t>
      </w:r>
      <w:r>
        <w:t xml:space="preserve">аргументу [20]. Разом це вказує, що зайняття ретиноїдної кишені RARG</w:t>
      </w:r>
      <w:r>
        <w:t xml:space="preserve"> </w:t>
      </w:r>
      <w:r>
        <w:t xml:space="preserve">малою молекулою в цій анатомічній ділянці — не суто теоретичний сценарій,</w:t>
      </w:r>
      <w:r>
        <w:t xml:space="preserve"> </w:t>
      </w:r>
      <w:r>
        <w:t xml:space="preserve">а механізм дії щонайменше одного схваленого топічного препарату — хоча</w:t>
      </w:r>
      <w:r>
        <w:t xml:space="preserve"> </w:t>
      </w:r>
      <w:r>
        <w:t xml:space="preserve">це нічого не говорить про те, чи зв’язуватимуться саме наші лiганди-кандидати,</w:t>
      </w:r>
      <w:r>
        <w:t xml:space="preserve"> </w:t>
      </w:r>
      <w:r>
        <w:t xml:space="preserve">і про функціональний наслідок (агонізм, антагонізм чи відсутність ефекту),</w:t>
      </w:r>
      <w:r>
        <w:t xml:space="preserve"> </w:t>
      </w:r>
      <w:r>
        <w:t xml:space="preserve">якщо зв’язування відбудеться. BLMH (блеоміцин-гідролаза) незалежно</w:t>
      </w:r>
      <w:r>
        <w:t xml:space="preserve"> </w:t>
      </w:r>
      <w:r>
        <w:t xml:space="preserve">примітний тим, що блеоміцин справді викликає добре описану</w:t>
      </w:r>
      <w:r>
        <w:t xml:space="preserve"> </w:t>
      </w:r>
      <w:r>
        <w:t xml:space="preserve">шкірно-специфічну токсичність (флагеллятна еритема/дерматит) [32], а</w:t>
      </w:r>
      <w:r>
        <w:t xml:space="preserve"> </w:t>
      </w:r>
      <w:r>
        <w:t xml:space="preserve">низька активність інактивуючої гідролази в шкірі та легенях історично</w:t>
      </w:r>
      <w:r>
        <w:t xml:space="preserve"> </w:t>
      </w:r>
      <w:r>
        <w:t xml:space="preserve">висувалася як гіпотетичне пояснення саме такої тканинної</w:t>
      </w:r>
      <w:r>
        <w:t xml:space="preserve"> </w:t>
      </w:r>
      <w:r>
        <w:t xml:space="preserve">вибірковості [31]. Ми відзначаємо, що цей зв’язок залишається</w:t>
      </w:r>
      <w:r>
        <w:t xml:space="preserve"> </w:t>
      </w:r>
      <w:r>
        <w:t xml:space="preserve">гіпотезою, а не встановленим механізмом: прямих даних про те, що</w:t>
      </w:r>
      <w:r>
        <w:t xml:space="preserve"> </w:t>
      </w:r>
      <w:r>
        <w:t xml:space="preserve">модуляція BLMH малою молекулою відтворює цю токсичність, немає. NTF4 (секретований ліганд TrkB, ймовірніше</w:t>
      </w:r>
      <w:r>
        <w:t xml:space="preserve"> </w:t>
      </w:r>
      <w:r>
        <w:t xml:space="preserve">представляє поверхню білок-білкової взаємодії, ніж кишеню для малої</w:t>
      </w:r>
      <w:r>
        <w:t xml:space="preserve"> </w:t>
      </w:r>
      <w:r>
        <w:t xml:space="preserve">молекули) та SERPINB5 (серпін, чий майже максимальний показник</w:t>
      </w:r>
      <w:r>
        <w:t xml:space="preserve"> </w:t>
      </w:r>
      <w:r>
        <w:t xml:space="preserve">druggability не узгоджується з його механізмом дії через реактивну</w:t>
      </w:r>
      <w:r>
        <w:t xml:space="preserve"> </w:t>
      </w:r>
      <w:r>
        <w:t xml:space="preserve">петлю) знижені в пріоритеті як імовірні артефакти детекції.</w:t>
      </w:r>
    </w:p>
    <w:bookmarkEnd w:id="19"/>
    <w:bookmarkStart w:id="20" w:name="крос-докінг-підтримує-гіпотезу-щодо-rarg"/>
    <w:p>
      <w:pPr>
        <w:pStyle w:val="Heading3"/>
      </w:pPr>
      <w:r>
        <w:t xml:space="preserve">3.3 Крос-докінг підтримує гіпотезу щодо RARG</w:t>
      </w:r>
    </w:p>
    <w:p>
      <w:pPr>
        <w:pStyle w:val="FirstParagraph"/>
      </w:pPr>
      <w:r>
        <w:t xml:space="preserve">Передокування власного співкристалізованого ліганду кожної структури</w:t>
      </w:r>
      <w:r>
        <w:t xml:space="preserve"> </w:t>
      </w:r>
      <w:r>
        <w:t xml:space="preserve">(побудованого з SMILES, а не з кристалічних координат) відтворило його</w:t>
      </w:r>
      <w:r>
        <w:t xml:space="preserve"> </w:t>
      </w:r>
      <w:r>
        <w:t xml:space="preserve">кристалічну позу з RMSD за важкими атомами 1.42 Å для RARG/E9T і 2.10 Å</w:t>
      </w:r>
      <w:r>
        <w:t xml:space="preserve"> </w:t>
      </w:r>
      <w:r>
        <w:t xml:space="preserve">для MMP3/L04 — RARG чисто проходить умовний поріг &lt;2 Å для валідованого</w:t>
      </w:r>
      <w:r>
        <w:t xml:space="preserve"> </w:t>
      </w:r>
      <w:r>
        <w:t xml:space="preserve">протоколу передокування; результат MMP3 опиняється трохи за його межами,</w:t>
      </w:r>
      <w:r>
        <w:t xml:space="preserve"> </w:t>
      </w:r>
      <w:r>
        <w:t xml:space="preserve">що правдоподібно відображає більшу конформаційну гнучкість L04 порівняно</w:t>
      </w:r>
      <w:r>
        <w:t xml:space="preserve"> </w:t>
      </w:r>
      <w:r>
        <w:t xml:space="preserve">з компактнішим і жорсткішим E9T. Ми трактуємо це як «протокол загалом</w:t>
      </w:r>
      <w:r>
        <w:t xml:space="preserve"> </w:t>
      </w:r>
      <w:r>
        <w:t xml:space="preserve">відтворює правильний спосіб зв’язування для MMP3, з неабиякою залишковою</w:t>
      </w:r>
      <w:r>
        <w:t xml:space="preserve"> </w:t>
      </w:r>
      <w:r>
        <w:t xml:space="preserve">невизначеністю пози», і відповідно зважуємо результати крос-докінгу по</w:t>
      </w:r>
      <w:r>
        <w:t xml:space="preserve"> </w:t>
      </w:r>
      <w:r>
        <w:t xml:space="preserve">MMP3 нижче (нижча довіра, ніж до результатів по RARG).</w:t>
      </w:r>
    </w:p>
    <w:p>
      <w:pPr>
        <w:pStyle w:val="BodyText"/>
      </w:pPr>
      <w:r>
        <w:t xml:space="preserve">Таблиця 2 наводить показники докінгу для семилігандного референсного</w:t>
      </w:r>
      <w:r>
        <w:t xml:space="preserve"> </w:t>
      </w:r>
      <w:r>
        <w:t xml:space="preserve">ряду TRPV1 проти TRPV1, MMP3 і RARG.</w:t>
      </w:r>
    </w:p>
    <w:p>
      <w:pPr>
        <w:pStyle w:val="BodyText"/>
      </w:pPr>
      <w:r>
        <w:rPr>
          <w:b/>
          <w:bCs/>
        </w:rPr>
        <w:t xml:space="preserve">Таблиця 2.</w:t>
      </w:r>
      <w:r>
        <w:t xml:space="preserve"> </w:t>
      </w:r>
      <w:r>
        <w:t xml:space="preserve">Показники докінгу Vina (ккал/моль; більш від’ємне значення</w:t>
      </w:r>
      <w:r>
        <w:t xml:space="preserve"> </w:t>
      </w:r>
      <w:r>
        <w:t xml:space="preserve">означає сприятливішу передбачену позу). Жирним виділено значення, що</w:t>
      </w:r>
      <w:r>
        <w:t xml:space="preserve"> </w:t>
      </w:r>
      <w:r>
        <w:t xml:space="preserve">чисельно збігаються або перевищують власний показник ліганду проти</w:t>
      </w:r>
      <w:r>
        <w:t xml:space="preserve"> </w:t>
      </w:r>
      <w:r>
        <w:t xml:space="preserve">TRPV1. Різниці менші за приблизно 1 ккал/моль перебувають у межах типової</w:t>
      </w:r>
      <w:r>
        <w:t xml:space="preserve"> </w:t>
      </w:r>
      <w:r>
        <w:t xml:space="preserve">похибки скорингу Vina і самі по собі не мають розглядатися як доказ</w:t>
      </w:r>
      <w:r>
        <w:t xml:space="preserve"> </w:t>
      </w:r>
      <w:r>
        <w:t xml:space="preserve">сильнішого зв’язування — абсолютні порівняння показників між різними</w:t>
      </w:r>
      <w:r>
        <w:t xml:space="preserve"> </w:t>
      </w:r>
      <w:r>
        <w:t xml:space="preserve">рецепторами за своєю природою менш надійні, ніж ранжування поз</w:t>
      </w:r>
      <w:r>
        <w:t xml:space="preserve"> </w:t>
      </w:r>
      <w:r>
        <w:t xml:space="preserve">всередині однієї мішені, для якого метод розроблено.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Ліганд</w:t>
            </w:r>
          </w:p>
        </w:tc>
        <w:tc>
          <w:tcPr/>
          <w:p>
            <w:pPr>
              <w:pStyle w:val="Compact"/>
            </w:pPr>
            <w:r>
              <w:t xml:space="preserve">EC50 на TRPV1 (нМ)</w:t>
            </w:r>
          </w:p>
        </w:tc>
        <w:tc>
          <w:tcPr/>
          <w:p>
            <w:pPr>
              <w:pStyle w:val="Compact"/>
            </w:pPr>
            <w:r>
              <w:t xml:space="preserve">TRPV1</w:t>
            </w:r>
          </w:p>
        </w:tc>
        <w:tc>
          <w:tcPr/>
          <w:p>
            <w:pPr>
              <w:pStyle w:val="Compact"/>
            </w:pPr>
            <w:r>
              <w:t xml:space="preserve">MMP3 (holo)</w:t>
            </w:r>
          </w:p>
        </w:tc>
        <w:tc>
          <w:tcPr/>
          <w:p>
            <w:pPr>
              <w:pStyle w:val="Compact"/>
            </w:pPr>
            <w:r>
              <w:t xml:space="preserve">RARG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Resiniferatoxin</w:t>
            </w:r>
          </w:p>
        </w:tc>
        <w:tc>
          <w:tcPr/>
          <w:p>
            <w:pPr>
              <w:pStyle w:val="Compact"/>
            </w:pPr>
            <w:r>
              <w:t xml:space="preserve">0.011</w:t>
            </w:r>
          </w:p>
        </w:tc>
        <w:tc>
          <w:tcPr/>
          <w:p>
            <w:pPr>
              <w:pStyle w:val="Compact"/>
            </w:pPr>
            <w:r>
              <w:t xml:space="preserve">−9.63</w:t>
            </w:r>
          </w:p>
        </w:tc>
        <w:tc>
          <w:tcPr/>
          <w:p>
            <w:pPr>
              <w:pStyle w:val="Compact"/>
            </w:pPr>
            <w:r>
              <w:t xml:space="preserve">−9.21</w:t>
            </w:r>
          </w:p>
        </w:tc>
        <w:tc>
          <w:tcPr/>
          <w:p>
            <w:pPr>
              <w:pStyle w:val="Compact"/>
            </w:pPr>
            <w:r>
              <w:t xml:space="preserve">−2.86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Phenylacetylrinvanil</w:t>
            </w:r>
          </w:p>
        </w:tc>
        <w:tc>
          <w:tcPr/>
          <w:p>
            <w:pPr>
              <w:pStyle w:val="Compact"/>
            </w:pPr>
            <w:r>
              <w:t xml:space="preserve">0.09</w:t>
            </w:r>
          </w:p>
        </w:tc>
        <w:tc>
          <w:tcPr/>
          <w:p>
            <w:pPr>
              <w:pStyle w:val="Compact"/>
            </w:pPr>
            <w:r>
              <w:t xml:space="preserve">−8.01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−8.13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−8.98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Olvanil</w:t>
            </w:r>
          </w:p>
        </w:tc>
        <w:tc>
          <w:tcPr/>
          <w:p>
            <w:pPr>
              <w:pStyle w:val="Compact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  <w:r>
              <w:t xml:space="preserve">−7.49</w:t>
            </w:r>
          </w:p>
        </w:tc>
        <w:tc>
          <w:tcPr/>
          <w:p>
            <w:pPr>
              <w:pStyle w:val="Compact"/>
            </w:pPr>
            <w:r>
              <w:t xml:space="preserve">−7.46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−8.73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Arvanil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−7.83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−8.37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−9.17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Rinvanil</w:t>
            </w:r>
          </w:p>
        </w:tc>
        <w:tc>
          <w:tcPr/>
          <w:p>
            <w:pPr>
              <w:pStyle w:val="Compact"/>
            </w:pPr>
            <w:r>
              <w:t xml:space="preserve">6.0</w:t>
            </w:r>
          </w:p>
        </w:tc>
        <w:tc>
          <w:tcPr/>
          <w:p>
            <w:pPr>
              <w:pStyle w:val="Compact"/>
            </w:pPr>
            <w:r>
              <w:t xml:space="preserve">−7.51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−7.64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−8.60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Capsaicin</w:t>
            </w:r>
          </w:p>
        </w:tc>
        <w:tc>
          <w:tcPr/>
          <w:p>
            <w:pPr>
              <w:pStyle w:val="Compact"/>
            </w:pPr>
            <w:r>
              <w:t xml:space="preserve">712.0</w:t>
            </w:r>
          </w:p>
        </w:tc>
        <w:tc>
          <w:tcPr/>
          <w:p>
            <w:pPr>
              <w:pStyle w:val="Compact"/>
            </w:pPr>
            <w:r>
              <w:t xml:space="preserve">−8.23</w:t>
            </w:r>
          </w:p>
        </w:tc>
        <w:tc>
          <w:tcPr/>
          <w:p>
            <w:pPr>
              <w:pStyle w:val="Compact"/>
            </w:pPr>
            <w:r>
              <w:t xml:space="preserve">−8.02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−8.59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Nonivamide</w:t>
            </w:r>
          </w:p>
        </w:tc>
        <w:tc>
          <w:tcPr/>
          <w:p>
            <w:pPr>
              <w:pStyle w:val="Compact"/>
            </w:pPr>
            <w:r>
              <w:t xml:space="preserve">1400.0</w:t>
            </w:r>
          </w:p>
        </w:tc>
        <w:tc>
          <w:tcPr/>
          <w:p>
            <w:pPr>
              <w:pStyle w:val="Compact"/>
            </w:pPr>
            <w:r>
              <w:t xml:space="preserve">−7.60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−7.96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−7.97</w:t>
            </w:r>
          </w:p>
        </w:tc>
      </w:tr>
    </w:tbl>
    <w:p>
      <w:pPr>
        <w:pStyle w:val="BodyText"/>
      </w:pPr>
      <w:r>
        <w:t xml:space="preserve">Для шести з семи лігандів показник докінгу проти RARG був чисельно</w:t>
      </w:r>
      <w:r>
        <w:t xml:space="preserve"> </w:t>
      </w:r>
      <w:r>
        <w:t xml:space="preserve">рівним або дещо сприятливішим за показник проти самого TRPV1 (для</w:t>
      </w:r>
      <w:r>
        <w:t xml:space="preserve"> </w:t>
      </w:r>
      <w:r>
        <w:t xml:space="preserve">нонівамід −7.97 проти −7.60, різниця 0.37 ккал/моль, потрапляє в межі</w:t>
      </w:r>
      <w:r>
        <w:t xml:space="preserve"> </w:t>
      </w:r>
      <w:r>
        <w:t xml:space="preserve">похибки скорингу і має читатися як «подібно», а не «краще»); лише</w:t>
      </w:r>
      <w:r>
        <w:t xml:space="preserve"> </w:t>
      </w:r>
      <w:r>
        <w:t xml:space="preserve">resiniferatoxin — найоб’ємніший і структурно найскладніший ліганд</w:t>
      </w:r>
      <w:r>
        <w:t xml:space="preserve"> </w:t>
      </w:r>
      <w:r>
        <w:t xml:space="preserve">(дитерпен) — показав погане зв’язування. Застосована без модифікацій до</w:t>
      </w:r>
      <w:r>
        <w:t xml:space="preserve"> </w:t>
      </w:r>
      <w:r>
        <w:t xml:space="preserve">неспорідненого білкового фолду, скорингова функція докінгу ранжує</w:t>
      </w:r>
      <w:r>
        <w:t xml:space="preserve"> </w:t>
      </w:r>
      <w:r>
        <w:t xml:space="preserve">більшу частину цього хімічного ряду як порівнянно комплементарну і</w:t>
      </w:r>
      <w:r>
        <w:t xml:space="preserve"> </w:t>
      </w:r>
      <w:r>
        <w:t xml:space="preserve">ретиноїдній кишені RARG, і власній ванілоїдній кишені TRPV1. Ми</w:t>
      </w:r>
      <w:r>
        <w:t xml:space="preserve"> </w:t>
      </w:r>
      <w:r>
        <w:t xml:space="preserve">трактуємо це як обчислювальну підтримку — не підтвердження і не просте</w:t>
      </w:r>
      <w:r>
        <w:t xml:space="preserve"> </w:t>
      </w:r>
      <w:r>
        <w:t xml:space="preserve">повторення — гіпотези про подібність кишень з п. 3.2, і як достатню</w:t>
      </w:r>
      <w:r>
        <w:t xml:space="preserve"> </w:t>
      </w:r>
      <w:r>
        <w:t xml:space="preserve">підставу для пріоритизації експериментального контрскринінгу по RARG.</w:t>
      </w:r>
    </w:p>
    <w:p>
      <w:pPr>
        <w:pStyle w:val="BodyText"/>
      </w:pPr>
      <w:r>
        <w:t xml:space="preserve">Виправлений, Zn²⁺/Ca²⁺-вмісний рецептор MMP3 суттєво змінив цю картину</w:t>
      </w:r>
      <w:r>
        <w:t xml:space="preserve"> </w:t>
      </w:r>
      <w:r>
        <w:t xml:space="preserve">порівняно з попереднім прогоном на апо-рецепторі (без металів, тут</w:t>
      </w:r>
      <w:r>
        <w:t xml:space="preserve"> </w:t>
      </w:r>
      <w:r>
        <w:t xml:space="preserve">детально не наведений): замість сигналу, обмеженого двома найменшими</w:t>
      </w:r>
      <w:r>
        <w:t xml:space="preserve"> </w:t>
      </w:r>
      <w:r>
        <w:t xml:space="preserve">лігандами, тепер чотири з семи лігандів мають показник, рівний або</w:t>
      </w:r>
      <w:r>
        <w:t xml:space="preserve"> </w:t>
      </w:r>
      <w:r>
        <w:t xml:space="preserve">сприятливіший за їхній TRPV1-показник (phenylacetylrinvanil, arvanil,</w:t>
      </w:r>
      <w:r>
        <w:t xml:space="preserve"> </w:t>
      </w:r>
      <w:r>
        <w:t xml:space="preserve">rinvanil, nonivamide), п’ятий (olvanil, −7.46 проти −7.49) фактично</w:t>
      </w:r>
      <w:r>
        <w:t xml:space="preserve"> </w:t>
      </w:r>
      <w:r>
        <w:t xml:space="preserve">дорівнює, і лише resiniferatoxin і capsaicin показують дещо гірший</w:t>
      </w:r>
      <w:r>
        <w:t xml:space="preserve"> </w:t>
      </w:r>
      <w:r>
        <w:t xml:space="preserve">результат (на 0.42 і 0.21 ккал/моль відповідно — обидва в межах або на</w:t>
      </w:r>
      <w:r>
        <w:t xml:space="preserve"> </w:t>
      </w:r>
      <w:r>
        <w:t xml:space="preserve">межі похибки скорингу). Іншими словами, коли каталітичний цинк коректно</w:t>
      </w:r>
      <w:r>
        <w:t xml:space="preserve"> </w:t>
      </w:r>
      <w:r>
        <w:t xml:space="preserve">збережений у рецепторі, MMP3 демонструє широкий сигнал по всьому</w:t>
      </w:r>
      <w:r>
        <w:t xml:space="preserve"> </w:t>
      </w:r>
      <w:r>
        <w:t xml:space="preserve">дослідженому хімічному ряду, а не сигнал, обмежений малими молекулами —</w:t>
      </w:r>
      <w:r>
        <w:t xml:space="preserve"> </w:t>
      </w:r>
      <w:r>
        <w:t xml:space="preserve">це ближче до картини RARG, ніж припускав наш початковий (без металів)</w:t>
      </w:r>
      <w:r>
        <w:t xml:space="preserve"> </w:t>
      </w:r>
      <w:r>
        <w:t xml:space="preserve">прогін по MMP3. Єдиний стабільний виняток на</w:t>
      </w:r>
      <w:r>
        <w:t xml:space="preserve"> </w:t>
      </w:r>
      <w:r>
        <w:rPr>
          <w:i/>
          <w:iCs/>
        </w:rPr>
        <w:t xml:space="preserve">обох</w:t>
      </w:r>
      <w:r>
        <w:t xml:space="preserve"> </w:t>
      </w:r>
      <w:r>
        <w:t xml:space="preserve">флагнутих</w:t>
      </w:r>
      <w:r>
        <w:t xml:space="preserve"> </w:t>
      </w:r>
      <w:r>
        <w:t xml:space="preserve">позамішеневих мішенях — resiniferatoxin, найоб’ємніший і структурно</w:t>
      </w:r>
      <w:r>
        <w:t xml:space="preserve"> </w:t>
      </w:r>
      <w:r>
        <w:t xml:space="preserve">найскладніший ліганд ряду; всі інші протестовані ліганди докуються</w:t>
      </w:r>
      <w:r>
        <w:t xml:space="preserve"> </w:t>
      </w:r>
      <w:r>
        <w:t xml:space="preserve">порівнянно і в MMP3, і в RARG, і в TRPV1. З огляду на граничний RMSD</w:t>
      </w:r>
      <w:r>
        <w:t xml:space="preserve"> </w:t>
      </w:r>
      <w:r>
        <w:t xml:space="preserve">валідації протоколу докінгу MMP3 (2.10 Å, вище), ця закономірність</w:t>
      </w:r>
      <w:r>
        <w:t xml:space="preserve"> </w:t>
      </w:r>
      <w:r>
        <w:t xml:space="preserve">подається як гіпотеза, що заслуговує на експериментальну перевірку, з</w:t>
      </w:r>
      <w:r>
        <w:t xml:space="preserve"> </w:t>
      </w:r>
      <w:r>
        <w:t xml:space="preserve">дещо нижчою довірою, ніж результат по RARG, а не як підтверджена</w:t>
      </w:r>
      <w:r>
        <w:t xml:space="preserve"> </w:t>
      </w:r>
      <w:r>
        <w:t xml:space="preserve">знахідка.</w:t>
      </w:r>
    </w:p>
    <w:bookmarkEnd w:id="20"/>
    <w:bookmarkStart w:id="21" w:name="Xcf28ccef325c8f8422ccb43f7cc74819eb8f423"/>
    <w:p>
      <w:pPr>
        <w:pStyle w:val="Heading3"/>
      </w:pPr>
      <w:r>
        <w:t xml:space="preserve">3.4 Перевірка дискримінації на істинних даних розділяє RARG і MMP3</w:t>
      </w:r>
    </w:p>
    <w:p>
      <w:pPr>
        <w:pStyle w:val="FirstParagraph"/>
      </w:pPr>
      <w:r>
        <w:t xml:space="preserve">Наведене вище порівняння між рецепторами передбачає, що скорингова</w:t>
      </w:r>
      <w:r>
        <w:t xml:space="preserve"> </w:t>
      </w:r>
      <w:r>
        <w:t xml:space="preserve">функція Vina взагалі здатна змістовно ранжувати сполуки на RARG і MMP3.</w:t>
      </w:r>
      <w:r>
        <w:t xml:space="preserve"> </w:t>
      </w:r>
      <w:r>
        <w:t xml:space="preserve">Таблиця 3 перевіряє це припущення напряму: відомі активні та неактивні</w:t>
      </w:r>
      <w:r>
        <w:t xml:space="preserve"> </w:t>
      </w:r>
      <w:r>
        <w:t xml:space="preserve">сполуки з ChEMBL (по 30 на мішень, підібрані за фізико-хімічними</w:t>
      </w:r>
      <w:r>
        <w:t xml:space="preserve"> </w:t>
      </w:r>
      <w:r>
        <w:t xml:space="preserve">властивостями, п. 2.5) передоковано в кожен рецептор, і обчислено</w:t>
      </w:r>
      <w:r>
        <w:t xml:space="preserve"> </w:t>
      </w:r>
      <w:r>
        <w:t xml:space="preserve">ROC-AUC розділення активних/неактивних лише за показником — питання,</w:t>
      </w:r>
      <w:r>
        <w:t xml:space="preserve"> </w:t>
      </w:r>
      <w:r>
        <w:t xml:space="preserve">цілком незалежне від аналізу крос-докінгу агоністів TRPV1 вище.</w:t>
      </w:r>
    </w:p>
    <w:p>
      <w:pPr>
        <w:pStyle w:val="BodyText"/>
      </w:pPr>
      <w:r>
        <w:rPr>
          <w:b/>
          <w:bCs/>
        </w:rPr>
        <w:t xml:space="preserve">Таблиця 3.</w:t>
      </w:r>
      <w:r>
        <w:t xml:space="preserve"> </w:t>
      </w:r>
      <w:r>
        <w:t xml:space="preserve">Дискримінація на істинних даних (ROC-AUC розділення</w:t>
      </w:r>
      <w:r>
        <w:t xml:space="preserve"> </w:t>
      </w:r>
      <w:r>
        <w:t xml:space="preserve">відомих активних від відомих неактивних сполук ChEMBL за показником</w:t>
      </w:r>
      <w:r>
        <w:t xml:space="preserve"> </w:t>
      </w:r>
      <w:r>
        <w:t xml:space="preserve">докінгу; 0.5 = невідрізнимо від випадковості, 1.0 = ідеальне</w:t>
      </w:r>
      <w:r>
        <w:t xml:space="preserve"> </w:t>
      </w:r>
      <w:r>
        <w:t xml:space="preserve">розділення). 95% ДІ отримано bootstrap-методом (10000 ресемплів,</w:t>
      </w:r>
      <w:r>
        <w:t xml:space="preserve"> </w:t>
      </w:r>
      <w:r>
        <w:t xml:space="preserve">стратифіковано);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— з одностороннього тесту Манна-Уітні проти</w:t>
      </w:r>
      <w:r>
        <w:t xml:space="preserve"> </w:t>
      </w:r>
      <w:r>
        <w:t xml:space="preserve">нульової гіпотези AUC = 0.5; PR-AUC (average precision) наведено поряд з</w:t>
      </w:r>
      <w:r>
        <w:t xml:space="preserve"> </w:t>
      </w:r>
      <w:r>
        <w:t xml:space="preserve">ROC-AUC, оскільки сам ROC-AUC може виглядати оптимістично на малих</w:t>
      </w:r>
      <w:r>
        <w:t xml:space="preserve"> </w:t>
      </w:r>
      <w:r>
        <w:t xml:space="preserve">збалансованих панелях. ROC-криві та розподіли показників, що лежать в</w:t>
      </w:r>
      <w:r>
        <w:t xml:space="preserve"> </w:t>
      </w:r>
      <w:r>
        <w:t xml:space="preserve">основі цієї таблиці, — у</w:t>
      </w:r>
      <w:r>
        <w:t xml:space="preserve"> </w:t>
      </w:r>
      <w:r>
        <w:rPr>
          <w:rStyle w:val="VerbatimChar"/>
        </w:rPr>
        <w:t xml:space="preserve">figures/roc_curves.png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figures/score_distributions.png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Мішень</w:t>
            </w:r>
          </w:p>
        </w:tc>
        <w:tc>
          <w:tcPr/>
          <w:p>
            <w:pPr>
              <w:pStyle w:val="Compact"/>
            </w:pPr>
            <w:r>
              <w:t xml:space="preserve">Скоринг</w:t>
            </w:r>
          </w:p>
        </w:tc>
        <w:tc>
          <w:tcPr/>
          <w:p>
            <w:pPr>
              <w:pStyle w:val="Compact"/>
            </w:pPr>
            <w:r>
              <w:t xml:space="preserve">n (активні/неактивні)</w:t>
            </w:r>
          </w:p>
        </w:tc>
        <w:tc>
          <w:tcPr/>
          <w:p>
            <w:pPr>
              <w:pStyle w:val="Compact"/>
            </w:pPr>
            <w:r>
              <w:t xml:space="preserve">ROC-AUC</w:t>
            </w:r>
          </w:p>
        </w:tc>
        <w:tc>
          <w:tcPr/>
          <w:p>
            <w:pPr>
              <w:pStyle w:val="Compact"/>
            </w:pPr>
            <w:r>
              <w:t xml:space="preserve">95% ДІ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</w:t>
            </w:r>
            <w:r>
              <w:t xml:space="preserve"> </w:t>
            </w:r>
            <w:r>
              <w:t xml:space="preserve">(проти 0.5)</w:t>
            </w:r>
          </w:p>
        </w:tc>
        <w:tc>
          <w:tcPr/>
          <w:p>
            <w:pPr>
              <w:pStyle w:val="Compact"/>
            </w:pPr>
            <w:r>
              <w:t xml:space="preserve">PR-AUC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RARG</w:t>
            </w:r>
          </w:p>
        </w:tc>
        <w:tc>
          <w:tcPr/>
          <w:p>
            <w:pPr>
              <w:pStyle w:val="Compact"/>
            </w:pPr>
            <w:r>
              <w:t xml:space="preserve">Vina</w:t>
            </w:r>
          </w:p>
        </w:tc>
        <w:tc>
          <w:tcPr/>
          <w:p>
            <w:pPr>
              <w:pStyle w:val="Compact"/>
            </w:pPr>
            <w:r>
              <w:t xml:space="preserve">30/30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0.811</w:t>
            </w:r>
          </w:p>
        </w:tc>
        <w:tc>
          <w:tcPr/>
          <w:p>
            <w:pPr>
              <w:pStyle w:val="Compact"/>
            </w:pPr>
            <w:r>
              <w:t xml:space="preserve">0.686–0.914</w:t>
            </w:r>
          </w:p>
        </w:tc>
        <w:tc>
          <w:tcPr/>
          <w:p>
            <w:pPr>
              <w:pStyle w:val="Compact"/>
            </w:pPr>
            <w:r>
              <w:t xml:space="preserve">&lt;0.0001</w:t>
            </w:r>
          </w:p>
        </w:tc>
        <w:tc>
          <w:tcPr/>
          <w:p>
            <w:pPr>
              <w:pStyle w:val="Compact"/>
            </w:pPr>
            <w:r>
              <w:t xml:space="preserve">0.858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MMP3</w:t>
            </w:r>
          </w:p>
        </w:tc>
        <w:tc>
          <w:tcPr/>
          <w:p>
            <w:pPr>
              <w:pStyle w:val="Compact"/>
            </w:pPr>
            <w:r>
              <w:t xml:space="preserve">Vina</w:t>
            </w:r>
          </w:p>
        </w:tc>
        <w:tc>
          <w:tcPr/>
          <w:p>
            <w:pPr>
              <w:pStyle w:val="Compact"/>
            </w:pPr>
            <w:r>
              <w:t xml:space="preserve">30/30</w:t>
            </w:r>
          </w:p>
        </w:tc>
        <w:tc>
          <w:tcPr/>
          <w:p>
            <w:pPr>
              <w:pStyle w:val="Compact"/>
            </w:pPr>
            <w:r>
              <w:t xml:space="preserve">0.503</w:t>
            </w:r>
          </w:p>
        </w:tc>
        <w:tc>
          <w:tcPr/>
          <w:p>
            <w:pPr>
              <w:pStyle w:val="Compact"/>
            </w:pPr>
            <w:r>
              <w:t xml:space="preserve">0.351–0.654</w:t>
            </w:r>
          </w:p>
        </w:tc>
        <w:tc>
          <w:tcPr/>
          <w:p>
            <w:pPr>
              <w:pStyle w:val="Compact"/>
            </w:pPr>
            <w:r>
              <w:t xml:space="preserve">0.485</w:t>
            </w:r>
          </w:p>
        </w:tc>
        <w:tc>
          <w:tcPr/>
          <w:p>
            <w:pPr>
              <w:pStyle w:val="Compact"/>
            </w:pPr>
            <w:r>
              <w:t xml:space="preserve">0.598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MMP3</w:t>
            </w:r>
          </w:p>
        </w:tc>
        <w:tc>
          <w:tcPr/>
          <w:p>
            <w:pPr>
              <w:pStyle w:val="Compact"/>
            </w:pPr>
            <w:r>
              <w:t xml:space="preserve">AD4Zn</w:t>
            </w:r>
          </w:p>
        </w:tc>
        <w:tc>
          <w:tcPr/>
          <w:p>
            <w:pPr>
              <w:pStyle w:val="Compact"/>
            </w:pPr>
            <w:r>
              <w:t xml:space="preserve">30/30</w:t>
            </w:r>
          </w:p>
        </w:tc>
        <w:tc>
          <w:tcPr/>
          <w:p>
            <w:pPr>
              <w:pStyle w:val="Compact"/>
            </w:pPr>
            <w:r>
              <w:t xml:space="preserve">0.551</w:t>
            </w:r>
          </w:p>
        </w:tc>
        <w:tc>
          <w:tcPr/>
          <w:p>
            <w:pPr>
              <w:pStyle w:val="Compact"/>
            </w:pPr>
            <w:r>
              <w:t xml:space="preserve">0.394–0.694</w:t>
            </w:r>
          </w:p>
        </w:tc>
        <w:tc>
          <w:tcPr/>
          <w:p>
            <w:pPr>
              <w:pStyle w:val="Compact"/>
            </w:pPr>
            <w:r>
              <w:t xml:space="preserve">0.251</w:t>
            </w:r>
          </w:p>
        </w:tc>
        <w:tc>
          <w:tcPr/>
          <w:p>
            <w:pPr>
              <w:pStyle w:val="Compact"/>
            </w:pPr>
            <w:r>
              <w:t xml:space="preserve">0.610</w:t>
            </w:r>
          </w:p>
        </w:tc>
      </w:tr>
    </w:tbl>
    <w:p>
      <w:pPr>
        <w:pStyle w:val="BodyText"/>
      </w:pPr>
      <w:r>
        <w:t xml:space="preserve">RARG переконливо проходить цю перевірку, і bootstrap-ДІ повністю</w:t>
      </w:r>
      <w:r>
        <w:t xml:space="preserve"> </w:t>
      </w:r>
      <w:r>
        <w:t xml:space="preserve">виключає випадковість (0.686–0.914;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&lt; 0.0001): показник Vina добре</w:t>
      </w:r>
      <w:r>
        <w:t xml:space="preserve"> </w:t>
      </w:r>
      <w:r>
        <w:t xml:space="preserve">розділяє</w:t>
      </w:r>
      <w:r>
        <w:t xml:space="preserve"> </w:t>
      </w:r>
      <w:r>
        <w:t xml:space="preserve">відомі активні та неактивні сполуки RARG, використовуючи набір сполук і</w:t>
      </w:r>
      <w:r>
        <w:t xml:space="preserve"> </w:t>
      </w:r>
      <w:r>
        <w:t xml:space="preserve">питання, цілком не пов’язані з семилігандним рядом TRPV1 з Таблиці 2. Це</w:t>
      </w:r>
      <w:r>
        <w:t xml:space="preserve"> </w:t>
      </w:r>
      <w:r>
        <w:t xml:space="preserve">незалежне підтвердження того, що результат крос-докінгу по RARG</w:t>
      </w:r>
      <w:r>
        <w:t xml:space="preserve"> </w:t>
      </w:r>
      <w:r>
        <w:t xml:space="preserve">відображає реальну роботу скорингової функції на цій кишені, а не збіг,</w:t>
      </w:r>
      <w:r>
        <w:t xml:space="preserve"> </w:t>
      </w:r>
      <w:r>
        <w:t xml:space="preserve">характерний саме для протестованого семилігандного ряду. Оскільки</w:t>
      </w:r>
      <w:r>
        <w:t xml:space="preserve"> </w:t>
      </w:r>
      <w:r>
        <w:t xml:space="preserve">приблизно три п’ятих панелі RARG (35/60 кандидатних сполук; 18 активних,</w:t>
      </w:r>
      <w:r>
        <w:t xml:space="preserve"> </w:t>
      </w:r>
      <w:r>
        <w:t xml:space="preserve">17 неактивних серед відібраних 30/30) отримали мітку з функціонального</w:t>
      </w:r>
      <w:r>
        <w:t xml:space="preserve"> </w:t>
      </w:r>
      <w:r>
        <w:t xml:space="preserve">тесту EC50, а не з прямого вимірювання зв’язування (Ki/Kd) чи</w:t>
      </w:r>
      <w:r>
        <w:t xml:space="preserve"> </w:t>
      </w:r>
      <w:r>
        <w:t xml:space="preserve">ферментативного IC50, перевірку повторено, обмеживши вибірку сполуками,</w:t>
      </w:r>
      <w:r>
        <w:t xml:space="preserve"> </w:t>
      </w:r>
      <w:r>
        <w:t xml:space="preserve">чию мітку встановлено виключно записом типу зв’язування (Ki, Kd або</w:t>
      </w:r>
      <w:r>
        <w:t xml:space="preserve"> </w:t>
      </w:r>
      <w:r>
        <w:t xml:space="preserve">IC50; n=25, 12 активних/13 неактивних): AUC не змінився (0.821), що</w:t>
      </w:r>
      <w:r>
        <w:t xml:space="preserve"> </w:t>
      </w:r>
      <w:r>
        <w:t xml:space="preserve">виключає змішування EC50/binding-тестів як пояснення результату RARG.</w:t>
      </w:r>
      <w:r>
        <w:t xml:space="preserve"> </w:t>
      </w:r>
      <w:r>
        <w:t xml:space="preserve">Для панелі MMP3 така перевірка не знадобилася — жодна сполука в</w:t>
      </w:r>
      <w:r>
        <w:t xml:space="preserve"> </w:t>
      </w:r>
      <w:r>
        <w:t xml:space="preserve">активній чи неактивній групі не отримала мітку із запису EC50 (лише</w:t>
      </w:r>
      <w:r>
        <w:t xml:space="preserve"> </w:t>
      </w:r>
      <w:r>
        <w:t xml:space="preserve">IC50/Ki/Kd).</w:t>
      </w:r>
    </w:p>
    <w:p>
      <w:pPr>
        <w:pStyle w:val="BodyText"/>
      </w:pPr>
      <w:r>
        <w:t xml:space="preserve">MMP3 повністю провалює ту саму перевірку (AUC 0.503, 95% ДІ 0.351–0.654</w:t>
      </w:r>
      <w:r>
        <w:t xml:space="preserve"> </w:t>
      </w:r>
      <w:r>
        <w:t xml:space="preserve">— майже симетрично охоплює 0.5;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0.485, далеко не значуще) —</w:t>
      </w:r>
      <w:r>
        <w:t xml:space="preserve"> </w:t>
      </w:r>
      <w:r>
        <w:t xml:space="preserve">активні та</w:t>
      </w:r>
      <w:r>
        <w:t xml:space="preserve"> </w:t>
      </w:r>
      <w:r>
        <w:t xml:space="preserve">неактивні сполуки в середньому невідрізнимі за показником (середнє</w:t>
      </w:r>
      <w:r>
        <w:t xml:space="preserve"> </w:t>
      </w:r>
      <w:r>
        <w:t xml:space="preserve">−9.51 проти −9.71 ккал/моль відповідно; деталі в п. 3.3). Перехід на</w:t>
      </w:r>
      <w:r>
        <w:t xml:space="preserve"> </w:t>
      </w:r>
      <w:r>
        <w:t xml:space="preserve">AD4Zn — силове поле, розроблене спеціально для коректного скорингу</w:t>
      </w:r>
      <w:r>
        <w:t xml:space="preserve"> </w:t>
      </w:r>
      <w:r>
        <w:t xml:space="preserve">координації цинку — покращив це лише незначно (AUC 0.551, 95% ДІ</w:t>
      </w:r>
      <w:r>
        <w:t xml:space="preserve"> </w:t>
      </w:r>
      <w:r>
        <w:t xml:space="preserve">0.394–0.694,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0.251; середнє</w:t>
      </w:r>
      <w:r>
        <w:t xml:space="preserve"> </w:t>
      </w:r>
      <w:r>
        <w:t xml:space="preserve">активних −25.23 проти середнього неактивних −24.54 в одиницях</w:t>
      </w:r>
      <w:r>
        <w:t xml:space="preserve"> </w:t>
      </w:r>
      <w:r>
        <w:t xml:space="preserve">скорингу AD4, які не порівнянні за масштабом зі шкалою ккал/моль</w:t>
      </w:r>
      <w:r>
        <w:t xml:space="preserve"> </w:t>
      </w:r>
      <w:r>
        <w:t xml:space="preserve">звичайного Vina) — все ще статистично невідрізнимо від випадковості і далеко нижче</w:t>
      </w:r>
      <w:r>
        <w:t xml:space="preserve"> </w:t>
      </w:r>
      <w:r>
        <w:t xml:space="preserve">результату RARG за незміненою скоринговою функцією. Це виключає</w:t>
      </w:r>
      <w:r>
        <w:t xml:space="preserve"> </w:t>
      </w:r>
      <w:r>
        <w:t xml:space="preserve">пояснення «каталітичний цинк скорується як інертне жорстке тіло, а не</w:t>
      </w:r>
      <w:r>
        <w:t xml:space="preserve"> </w:t>
      </w:r>
      <w:r>
        <w:t xml:space="preserve">як реальний партнер координації» як єдину причину слабкого результату</w:t>
      </w:r>
      <w:r>
        <w:t xml:space="preserve"> </w:t>
      </w:r>
      <w:r>
        <w:t xml:space="preserve">MMP3; певний інший фактор (гнучкість кишені, не відображена єдиною</w:t>
      </w:r>
      <w:r>
        <w:t xml:space="preserve"> </w:t>
      </w:r>
      <w:r>
        <w:t xml:space="preserve">статичною структурою, грубіша відповідність емпіричних термів скорингу</w:t>
      </w:r>
      <w:r>
        <w:t xml:space="preserve"> </w:t>
      </w:r>
      <w:r>
        <w:t xml:space="preserve">цьому способу зв’язування, або обмеження самої holo-структури 1HFS)</w:t>
      </w:r>
      <w:r>
        <w:t xml:space="preserve"> </w:t>
      </w:r>
      <w:r>
        <w:t xml:space="preserve">також відіграє роль і не був з’ясований у межах цього дослідження. На</w:t>
      </w:r>
      <w:r>
        <w:t xml:space="preserve"> </w:t>
      </w:r>
      <w:r>
        <w:t xml:space="preserve">практиці це означає, що числа MMP3 в Таблиці 2 не можна читати як доказ</w:t>
      </w:r>
      <w:r>
        <w:t xml:space="preserve"> </w:t>
      </w:r>
      <w:r>
        <w:t xml:space="preserve">чогось: протокол докінгу, який не здатний ранжувати відомі зв’язувачі</w:t>
      </w:r>
      <w:r>
        <w:t xml:space="preserve"> </w:t>
      </w:r>
      <w:r>
        <w:t xml:space="preserve">MMP3 вище за відомі незв’язувачі всередині одного рецептора, не</w:t>
      </w:r>
      <w:r>
        <w:t xml:space="preserve"> </w:t>
      </w:r>
      <w:r>
        <w:t xml:space="preserve">продемонстрував значно складнішу здатність — абсолютне порівняння</w:t>
      </w:r>
      <w:r>
        <w:t xml:space="preserve"> </w:t>
      </w:r>
      <w:r>
        <w:t xml:space="preserve">показників між двома структурно неспорідненими рецепторами — на якій</w:t>
      </w:r>
      <w:r>
        <w:t xml:space="preserve"> </w:t>
      </w:r>
      <w:r>
        <w:t xml:space="preserve">ґрунтується аргумент Таблиці 2. Це узгоджується з граничним RMSD</w:t>
      </w:r>
      <w:r>
        <w:t xml:space="preserve"> </w:t>
      </w:r>
      <w:r>
        <w:t xml:space="preserve">передокування, вже відзначеним для MMP3 в п. 3.3, і суттєво загострює</w:t>
      </w:r>
      <w:r>
        <w:t xml:space="preserve"> </w:t>
      </w:r>
      <w:r>
        <w:t xml:space="preserve">його значення.</w:t>
      </w:r>
    </w:p>
    <w:bookmarkEnd w:id="21"/>
    <w:bookmarkStart w:id="22" w:name="Xe654b13d708225b46ae60c8f2022a5f96345776"/>
    <w:p>
      <w:pPr>
        <w:pStyle w:val="Heading3"/>
      </w:pPr>
      <w:r>
        <w:t xml:space="preserve">3.5 Локальні ESM-2 представлення кишені підтверджують дивергенцію TRPV5/TRPV6, але не TRPV4-специфічну частину твердження</w:t>
      </w:r>
    </w:p>
    <w:p>
      <w:pPr>
        <w:pStyle w:val="FirstParagraph"/>
      </w:pPr>
      <w:r>
        <w:t xml:space="preserve">Таблиця 4 кількісно перевіряє якісне твердження п. 3.1 незалежним від</w:t>
      </w:r>
      <w:r>
        <w:t xml:space="preserve"> </w:t>
      </w:r>
      <w:r>
        <w:t xml:space="preserve">ідентичності послідовності способом.</w:t>
      </w:r>
    </w:p>
    <w:p>
      <w:pPr>
        <w:pStyle w:val="BodyText"/>
      </w:pPr>
      <w:r>
        <w:rPr>
          <w:b/>
          <w:bCs/>
        </w:rPr>
        <w:t xml:space="preserve">Таблиця 4.</w:t>
      </w:r>
      <w:r>
        <w:t xml:space="preserve"> </w:t>
      </w:r>
      <w:r>
        <w:t xml:space="preserve">Косинусна подібність локальних (за залишками кишені) та</w:t>
      </w:r>
      <w:r>
        <w:t xml:space="preserve"> </w:t>
      </w:r>
      <w:r>
        <w:t xml:space="preserve">усереднених по всьому білку представлень ESM-2 до TRPV1.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Паралог</w:t>
            </w:r>
          </w:p>
        </w:tc>
        <w:tc>
          <w:tcPr/>
          <w:p>
            <w:pPr>
              <w:pStyle w:val="Compact"/>
            </w:pPr>
            <w:r>
              <w:t xml:space="preserve">Локальна подібність (залишки кишені)</w:t>
            </w:r>
          </w:p>
        </w:tc>
        <w:tc>
          <w:tcPr/>
          <w:p>
            <w:pPr>
              <w:pStyle w:val="Compact"/>
            </w:pPr>
            <w:r>
              <w:t xml:space="preserve">Подібність по всьому білку (негативний контроль)</w:t>
            </w:r>
          </w:p>
        </w:tc>
        <w:tc>
          <w:tcPr/>
          <w:p>
            <w:pPr>
              <w:pStyle w:val="Compact"/>
            </w:pPr>
            <w:r>
              <w:t xml:space="preserve">Порівняних позицій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TRPV2</w:t>
            </w:r>
          </w:p>
        </w:tc>
        <w:tc>
          <w:tcPr/>
          <w:p>
            <w:pPr>
              <w:pStyle w:val="Compact"/>
            </w:pPr>
            <w:r>
              <w:t xml:space="preserve">0.9646</w:t>
            </w:r>
          </w:p>
        </w:tc>
        <w:tc>
          <w:tcPr/>
          <w:p>
            <w:pPr>
              <w:pStyle w:val="Compact"/>
            </w:pPr>
            <w:r>
              <w:t xml:space="preserve">0.9933</w:t>
            </w:r>
          </w:p>
        </w:tc>
        <w:tc>
          <w:tcPr/>
          <w:p>
            <w:pPr>
              <w:pStyle w:val="Compact"/>
            </w:pPr>
            <w:r>
              <w:t xml:space="preserve">4/4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TRPV3</w:t>
            </w:r>
          </w:p>
        </w:tc>
        <w:tc>
          <w:tcPr/>
          <w:p>
            <w:pPr>
              <w:pStyle w:val="Compact"/>
            </w:pPr>
            <w:r>
              <w:t xml:space="preserve">0.9648</w:t>
            </w:r>
          </w:p>
        </w:tc>
        <w:tc>
          <w:tcPr/>
          <w:p>
            <w:pPr>
              <w:pStyle w:val="Compact"/>
            </w:pPr>
            <w:r>
              <w:t xml:space="preserve">0.9963</w:t>
            </w:r>
          </w:p>
        </w:tc>
        <w:tc>
          <w:tcPr/>
          <w:p>
            <w:pPr>
              <w:pStyle w:val="Compact"/>
            </w:pPr>
            <w:r>
              <w:t xml:space="preserve">4/4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TRPV4</w:t>
            </w:r>
          </w:p>
        </w:tc>
        <w:tc>
          <w:tcPr/>
          <w:p>
            <w:pPr>
              <w:pStyle w:val="Compact"/>
            </w:pPr>
            <w:r>
              <w:t xml:space="preserve">0.9689</w:t>
            </w:r>
          </w:p>
        </w:tc>
        <w:tc>
          <w:tcPr/>
          <w:p>
            <w:pPr>
              <w:pStyle w:val="Compact"/>
            </w:pPr>
            <w:r>
              <w:t xml:space="preserve">0.9976</w:t>
            </w:r>
          </w:p>
        </w:tc>
        <w:tc>
          <w:tcPr/>
          <w:p>
            <w:pPr>
              <w:pStyle w:val="Compact"/>
            </w:pPr>
            <w:r>
              <w:t xml:space="preserve">4/4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TRPV5</w:t>
            </w:r>
          </w:p>
        </w:tc>
        <w:tc>
          <w:tcPr/>
          <w:p>
            <w:pPr>
              <w:pStyle w:val="Compact"/>
            </w:pPr>
            <w:r>
              <w:t xml:space="preserve">0.9344</w:t>
            </w:r>
          </w:p>
        </w:tc>
        <w:tc>
          <w:tcPr/>
          <w:p>
            <w:pPr>
              <w:pStyle w:val="Compact"/>
            </w:pPr>
            <w:r>
              <w:t xml:space="preserve">0.9929</w:t>
            </w:r>
          </w:p>
        </w:tc>
        <w:tc>
          <w:tcPr/>
          <w:p>
            <w:pPr>
              <w:pStyle w:val="Compact"/>
            </w:pPr>
            <w:r>
              <w:t xml:space="preserve">4/4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TRPV6</w:t>
            </w:r>
          </w:p>
        </w:tc>
        <w:tc>
          <w:tcPr/>
          <w:p>
            <w:pPr>
              <w:pStyle w:val="Compact"/>
            </w:pPr>
            <w:r>
              <w:t xml:space="preserve">0.9407</w:t>
            </w:r>
          </w:p>
        </w:tc>
        <w:tc>
          <w:tcPr/>
          <w:p>
            <w:pPr>
              <w:pStyle w:val="Compact"/>
            </w:pPr>
            <w:r>
              <w:t xml:space="preserve">0.9930</w:t>
            </w:r>
          </w:p>
        </w:tc>
        <w:tc>
          <w:tcPr/>
          <w:p>
            <w:pPr>
              <w:pStyle w:val="Compact"/>
            </w:pPr>
            <w:r>
              <w:t xml:space="preserve">3/4 (пропуск на S512)</w:t>
            </w:r>
          </w:p>
        </w:tc>
      </w:tr>
    </w:tbl>
    <w:p>
      <w:pPr>
        <w:pStyle w:val="BodyText"/>
      </w:pPr>
      <w:r>
        <w:t xml:space="preserve">Негативний контроль виявився рівно настільки неінформативним, як і</w:t>
      </w:r>
      <w:r>
        <w:t xml:space="preserve"> </w:t>
      </w:r>
      <w:r>
        <w:t xml:space="preserve">передбачалося: 0.993–0.998 для всіх п’яти паралогів, розкид ~0.005, що</w:t>
      </w:r>
      <w:r>
        <w:t xml:space="preserve"> </w:t>
      </w:r>
      <w:r>
        <w:t xml:space="preserve">не відтворює навіть ранжування за ідентичністю всього білка з Таблиці 1</w:t>
      </w:r>
      <w:r>
        <w:t xml:space="preserve"> </w:t>
      </w:r>
      <w:r>
        <w:t xml:space="preserve">(TRPV4 має тут</w:t>
      </w:r>
      <w:r>
        <w:t xml:space="preserve"> </w:t>
      </w:r>
      <w:r>
        <w:rPr>
          <w:i/>
          <w:iCs/>
        </w:rPr>
        <w:t xml:space="preserve">найвищу</w:t>
      </w:r>
      <w:r>
        <w:t xml:space="preserve"> </w:t>
      </w:r>
      <w:r>
        <w:t xml:space="preserve">глобальну подібність, будучи другим з кінця за</w:t>
      </w:r>
      <w:r>
        <w:t xml:space="preserve"> </w:t>
      </w:r>
      <w:r>
        <w:t xml:space="preserve">ідентичністю). Це підтверджує, що усереднені по всій послідовності</w:t>
      </w:r>
      <w:r>
        <w:t xml:space="preserve"> </w:t>
      </w:r>
      <w:r>
        <w:t xml:space="preserve">представлення не є придатною оптикою для цього питання — незалежно від</w:t>
      </w:r>
      <w:r>
        <w:t xml:space="preserve"> </w:t>
      </w:r>
      <w:r>
        <w:t xml:space="preserve">аргументу на основі відсоткової ідентичності, вже наведеного в п. 2.1.</w:t>
      </w:r>
    </w:p>
    <w:p>
      <w:pPr>
        <w:pStyle w:val="BodyText"/>
      </w:pPr>
      <w:r>
        <w:t xml:space="preserve">Локальна метрика, навпаки, розділяє реальну вісь: TRPV2/TRPV3/TRPV4</w:t>
      </w:r>
      <w:r>
        <w:t xml:space="preserve"> </w:t>
      </w:r>
      <w:r>
        <w:t xml:space="preserve">групуються щільно (0.965–0.969), а TRPV5/TRPV6 лежать помітно нижче</w:t>
      </w:r>
      <w:r>
        <w:t xml:space="preserve"> </w:t>
      </w:r>
      <w:r>
        <w:t xml:space="preserve">(0.93–0.94). Це узгоджується з літературно обґрунтованим твердженням, що</w:t>
      </w:r>
      <w:r>
        <w:t xml:space="preserve"> </w:t>
      </w:r>
      <w:r>
        <w:t xml:space="preserve">TRPV5/6 — Ca²⁺-селективні канали з іншою архітектурою пори — дивергують</w:t>
      </w:r>
      <w:r>
        <w:t xml:space="preserve"> </w:t>
      </w:r>
      <w:r>
        <w:t xml:space="preserve">на рівні кишені сильніше, ніж TRPV2–4, і становить другу, незалежну</w:t>
      </w:r>
      <w:r>
        <w:t xml:space="preserve"> </w:t>
      </w:r>
      <w:r>
        <w:t xml:space="preserve">(засновану на представленнях, а не на ідентичності) лінію доказів саме</w:t>
      </w:r>
      <w:r>
        <w:t xml:space="preserve"> </w:t>
      </w:r>
      <w:r>
        <w:t xml:space="preserve">для цієї частини твердження.</w:t>
      </w:r>
    </w:p>
    <w:p>
      <w:pPr>
        <w:pStyle w:val="BodyText"/>
      </w:pPr>
      <w:r>
        <w:t xml:space="preserve">Водночас цей аналіз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підтверджує TRPV4-специфічної частини</w:t>
      </w:r>
      <w:r>
        <w:t xml:space="preserve"> </w:t>
      </w:r>
      <w:r>
        <w:t xml:space="preserve">твердження. TRPV4 не має жодного збігу за фізико-хімічним класом у всіх</w:t>
      </w:r>
      <w:r>
        <w:t xml:space="preserve"> </w:t>
      </w:r>
      <w:r>
        <w:t xml:space="preserve">чотирьох позиціях кишені (Y511→S, S512→F, T550→M, E570→Q — усі зміни</w:t>
      </w:r>
      <w:r>
        <w:t xml:space="preserve"> </w:t>
      </w:r>
      <w:r>
        <w:t xml:space="preserve">класу), тобто за цією дискретною мірою заміщений сильніше за TRPV2 чи</w:t>
      </w:r>
      <w:r>
        <w:t xml:space="preserve"> </w:t>
      </w:r>
      <w:r>
        <w:t xml:space="preserve">TRPV3, — і все ж має найвищу локальну подібність ESM-2 у всій групі.</w:t>
      </w:r>
      <w:r>
        <w:t xml:space="preserve"> </w:t>
      </w:r>
      <w:r>
        <w:t xml:space="preserve">Правдоподібне прочитання: усереднення по вікну з п’яти залишків</w:t>
      </w:r>
      <w:r>
        <w:t xml:space="preserve"> </w:t>
      </w:r>
      <w:r>
        <w:t xml:space="preserve">доміноване сильно консервативним фланкувальним мотивом, спільним для</w:t>
      </w:r>
      <w:r>
        <w:t xml:space="preserve"> </w:t>
      </w:r>
      <w:r>
        <w:t xml:space="preserve">TRPV1–4, тож сигнал тут ближчий до «наскільки консервативний локальний</w:t>
      </w:r>
      <w:r>
        <w:t xml:space="preserve"> </w:t>
      </w:r>
      <w:r>
        <w:t xml:space="preserve">структурний контекст», ніж до «наскільки консервативна конкретна</w:t>
      </w:r>
      <w:r>
        <w:t xml:space="preserve"> </w:t>
      </w:r>
      <w:r>
        <w:t xml:space="preserve">заміна». Це слід читати як обмеження підходу з усередненням по вікну, а</w:t>
      </w:r>
      <w:r>
        <w:t xml:space="preserve"> </w:t>
      </w:r>
      <w:r>
        <w:t xml:space="preserve">не як доказ проти літературного аргументу про точкові заміни в TRPV4</w:t>
      </w:r>
      <w:r>
        <w:t xml:space="preserve"> </w:t>
      </w:r>
      <w:r>
        <w:t xml:space="preserve">(який стосується функціонального наслідку однієї конкретної зміни</w:t>
      </w:r>
      <w:r>
        <w:t xml:space="preserve"> </w:t>
      </w:r>
      <w:r>
        <w:t xml:space="preserve">залишку, а не подібності локального контексту).</w:t>
      </w:r>
    </w:p>
    <w:bookmarkEnd w:id="22"/>
    <w:bookmarkEnd w:id="23"/>
    <w:bookmarkStart w:id="24" w:name="обговорення"/>
    <w:p>
      <w:pPr>
        <w:pStyle w:val="Heading2"/>
      </w:pPr>
      <w:r>
        <w:t xml:space="preserve">4. Обговорення</w:t>
      </w:r>
    </w:p>
    <w:p>
      <w:pPr>
        <w:pStyle w:val="FirstParagraph"/>
      </w:pPr>
      <w:r>
        <w:t xml:space="preserve">Цей скринінг демонструє, що структурний тріаж за позамішеневими мішенями —</w:t>
      </w:r>
      <w:r>
        <w:t xml:space="preserve"> </w:t>
      </w:r>
      <w:r>
        <w:t xml:space="preserve">достатньо дешевий, щоб проводитися до появи сполуки-лідера — здатний</w:t>
      </w:r>
      <w:r>
        <w:t xml:space="preserve"> </w:t>
      </w:r>
      <w:r>
        <w:t xml:space="preserve">виявити кандидата (RARG), якого звичайний паралог-орієнтований огляд</w:t>
      </w:r>
      <w:r>
        <w:t xml:space="preserve"> </w:t>
      </w:r>
      <w:r>
        <w:t xml:space="preserve">безпеки ніколи б не розглянув, оскільки RARG не має значущої</w:t>
      </w:r>
      <w:r>
        <w:t xml:space="preserve"> </w:t>
      </w:r>
      <w:r>
        <w:t xml:space="preserve">ідентичності послідовності чи еволюційного зв’язку з TRPV1. Знахідка</w:t>
      </w:r>
      <w:r>
        <w:t xml:space="preserve"> </w:t>
      </w:r>
      <w:r>
        <w:t xml:space="preserve">підкріплена двома незалежними лініями обчислювальних доказів, що</w:t>
      </w:r>
      <w:r>
        <w:t xml:space="preserve"> </w:t>
      </w:r>
      <w:r>
        <w:t xml:space="preserve">сходяться до однієї мішені (подібність «відбитків» кишень і крос-докінг),</w:t>
      </w:r>
      <w:r>
        <w:t xml:space="preserve"> </w:t>
      </w:r>
      <w:r>
        <w:t xml:space="preserve">а також тим фактом, що RARG — не суто гіпотетична мішень: це прямий</w:t>
      </w:r>
      <w:r>
        <w:t xml:space="preserve"> </w:t>
      </w:r>
      <w:r>
        <w:t xml:space="preserve">об’єкт дії схваленого топічного RARγ-селективного ретиноїду (трифаротен)</w:t>
      </w:r>
      <w:r>
        <w:t xml:space="preserve"> </w:t>
      </w:r>
      <w:r>
        <w:t xml:space="preserve">і, менш селективно, старішого топічного проліку-ретиноїду (тазаротен).</w:t>
      </w:r>
      <w:r>
        <w:t xml:space="preserve"> </w:t>
      </w:r>
      <w:r>
        <w:t xml:space="preserve">Третя, незалежна лінія доказів вказує в тому самому напрямку: перевірка</w:t>
      </w:r>
      <w:r>
        <w:t xml:space="preserve"> </w:t>
      </w:r>
      <w:r>
        <w:t xml:space="preserve">дискримінації на істинних даних ChEMBL (п. 3.4) показує, що показник</w:t>
      </w:r>
      <w:r>
        <w:t xml:space="preserve"> </w:t>
      </w:r>
      <w:r>
        <w:t xml:space="preserve">Vina дійсно розрізняє зв’язувачі та незв’язувачі RARG (ROC-AUC 0.811) на</w:t>
      </w:r>
      <w:r>
        <w:t xml:space="preserve"> </w:t>
      </w:r>
      <w:r>
        <w:t xml:space="preserve">наборі сполук, цілком не пов’язаному з семилігандним рядом TRPV1,</w:t>
      </w:r>
      <w:r>
        <w:t xml:space="preserve"> </w:t>
      </w:r>
      <w:r>
        <w:t xml:space="preserve">використаним для крос-докінгу, — доказ того, що базова скорингова</w:t>
      </w:r>
      <w:r>
        <w:t xml:space="preserve"> </w:t>
      </w:r>
      <w:r>
        <w:t xml:space="preserve">функція виконує реальну, узагальнювану роботу на цій кишені, а не лише</w:t>
      </w:r>
      <w:r>
        <w:t xml:space="preserve"> </w:t>
      </w:r>
      <w:r>
        <w:t xml:space="preserve">демонструє послідовний патерн всередині одного лігандного ряду.</w:t>
      </w:r>
      <w:r>
        <w:t xml:space="preserve"> </w:t>
      </w:r>
      <w:r>
        <w:t xml:space="preserve">Клінічний прецедент це доповнює: рецептор уже фармакологічно задіяний у тій самій тканині наявними</w:t>
      </w:r>
      <w:r>
        <w:t xml:space="preserve"> </w:t>
      </w:r>
      <w:r>
        <w:t xml:space="preserve">терапевтичними засобами, що надає потенційній позамішеневій взаємодії</w:t>
      </w:r>
      <w:r>
        <w:t xml:space="preserve"> </w:t>
      </w:r>
      <w:r>
        <w:t xml:space="preserve">конкретну, клінічно заякорену інтерпретаційну рамку (можливе втручання в</w:t>
      </w:r>
      <w:r>
        <w:t xml:space="preserve"> </w:t>
      </w:r>
      <w:r>
        <w:t xml:space="preserve">ретиноїдну сигналізацію в шкірі), а не вимагає de novo токсикологічної</w:t>
      </w:r>
      <w:r>
        <w:t xml:space="preserve"> </w:t>
      </w:r>
      <w:r>
        <w:t xml:space="preserve">гіпотези. Наголошуємо, що жодна з цих ліній доказів не встановлює</w:t>
      </w:r>
      <w:r>
        <w:t xml:space="preserve"> </w:t>
      </w:r>
      <w:r>
        <w:t xml:space="preserve">реального зв’язування, агонізм проти антагонізму на RARG чи будь-який</w:t>
      </w:r>
      <w:r>
        <w:t xml:space="preserve"> </w:t>
      </w:r>
      <w:r>
        <w:t xml:space="preserve">функціональний або токсикологічний наслідок — ці питання виходять за</w:t>
      </w:r>
      <w:r>
        <w:t xml:space="preserve"> </w:t>
      </w:r>
      <w:r>
        <w:t xml:space="preserve">межі комп’ютерного скринінгу і потребують окремої експериментальної</w:t>
      </w:r>
      <w:r>
        <w:t xml:space="preserve"> </w:t>
      </w:r>
      <w:r>
        <w:t xml:space="preserve">перевірки.</w:t>
      </w:r>
    </w:p>
    <w:p>
      <w:pPr>
        <w:pStyle w:val="BodyText"/>
      </w:pPr>
      <w:r>
        <w:t xml:space="preserve">Кілька обмежень окреслюють, як слід використовувати ці результати.</w:t>
      </w:r>
      <w:r>
        <w:t xml:space="preserve"> </w:t>
      </w:r>
      <w:r>
        <w:t xml:space="preserve">По-перше, і найважливіше, це комп’ютерний тріаж, що генерує гіпотези, а</w:t>
      </w:r>
      <w:r>
        <w:t xml:space="preserve"> </w:t>
      </w:r>
      <w:r>
        <w:t xml:space="preserve">не підтверджувальне дослідження безпеки — жодних експериментальних</w:t>
      </w:r>
      <w:r>
        <w:t xml:space="preserve"> </w:t>
      </w:r>
      <w:r>
        <w:t xml:space="preserve">(біохімічних, клітинних чи in vivo) даних про крос-реактивність не</w:t>
      </w:r>
      <w:r>
        <w:t xml:space="preserve"> </w:t>
      </w:r>
      <w:r>
        <w:t xml:space="preserve">отримано і не звірено з цими передбаченнями. Валідація точності</w:t>
      </w:r>
      <w:r>
        <w:t xml:space="preserve"> </w:t>
      </w:r>
      <w:r>
        <w:t xml:space="preserve">детекції порожнин fpocket на відомій кишені TRPV1 демонструє, що метод</w:t>
      </w:r>
      <w:r>
        <w:t xml:space="preserve"> </w:t>
      </w:r>
      <w:r>
        <w:t xml:space="preserve">здатний</w:t>
      </w:r>
      <w:r>
        <w:t xml:space="preserve"> </w:t>
      </w:r>
      <w:r>
        <w:rPr>
          <w:i/>
          <w:iCs/>
        </w:rPr>
        <w:t xml:space="preserve">знаходити</w:t>
      </w:r>
      <w:r>
        <w:t xml:space="preserve"> </w:t>
      </w:r>
      <w:r>
        <w:t xml:space="preserve">кишені коректно; вона не встановлює, що подібність</w:t>
      </w:r>
      <w:r>
        <w:t xml:space="preserve"> </w:t>
      </w:r>
      <w:r>
        <w:t xml:space="preserve">дескрипторів кишені чи показник докінгу передбачають</w:t>
      </w:r>
      <w:r>
        <w:t xml:space="preserve"> </w:t>
      </w:r>
      <w:r>
        <w:rPr>
          <w:i/>
          <w:iCs/>
        </w:rPr>
        <w:t xml:space="preserve">реальне</w:t>
      </w:r>
      <w:r>
        <w:t xml:space="preserve"> </w:t>
      </w:r>
      <w:r>
        <w:t xml:space="preserve">зв’язування для неспорідненого фолду, і результат по RARG слід читати</w:t>
      </w:r>
      <w:r>
        <w:t xml:space="preserve"> </w:t>
      </w:r>
      <w:r>
        <w:t xml:space="preserve">як «заслуговує на цілеспрямований контрскринінг», а не як</w:t>
      </w:r>
      <w:r>
        <w:t xml:space="preserve"> </w:t>
      </w:r>
      <w:r>
        <w:t xml:space="preserve">підтверджену крос-реактивність. По-друге, скорингова функція Vina —</w:t>
      </w:r>
      <w:r>
        <w:t xml:space="preserve"> </w:t>
      </w:r>
      <w:r>
        <w:t xml:space="preserve">емпірично параметризоване наближення, а не фізична вільна енергія, і</w:t>
      </w:r>
      <w:r>
        <w:t xml:space="preserve"> </w:t>
      </w:r>
      <w:r>
        <w:t xml:space="preserve">порівняння показників між різними рецепторами несе додаткову</w:t>
      </w:r>
      <w:r>
        <w:t xml:space="preserve"> </w:t>
      </w:r>
      <w:r>
        <w:t xml:space="preserve">невизначеність понад звичне використання методу для ранжування</w:t>
      </w:r>
      <w:r>
        <w:t xml:space="preserve"> </w:t>
      </w:r>
      <w:r>
        <w:t xml:space="preserve">всередині однієї мішені; наша впевненість у результаті по RARG</w:t>
      </w:r>
      <w:r>
        <w:t xml:space="preserve"> </w:t>
      </w:r>
      <w:r>
        <w:t xml:space="preserve">ґрунтується на його узгодженості для шести незалежних лігандів, а не</w:t>
      </w:r>
      <w:r>
        <w:t xml:space="preserve"> </w:t>
      </w:r>
      <w:r>
        <w:t xml:space="preserve">на якомусь одному показнику. По-третє, обидві використані тут</w:t>
      </w:r>
      <w:r>
        <w:t xml:space="preserve"> </w:t>
      </w:r>
      <w:r>
        <w:t xml:space="preserve">структури рецепторів — одиничні статичні кристалографічні знімки (без</w:t>
      </w:r>
      <w:r>
        <w:t xml:space="preserve"> </w:t>
      </w:r>
      <w:r>
        <w:t xml:space="preserve">induced-fit чи ансамблевого моделювання), а структура RARG потребувала</w:t>
      </w:r>
      <w:r>
        <w:t xml:space="preserve"> </w:t>
      </w:r>
      <w:r>
        <w:t xml:space="preserve">стандартної обробки одного нерозв’язаного бокового радикала та</w:t>
      </w:r>
      <w:r>
        <w:t xml:space="preserve"> </w:t>
      </w:r>
      <w:r>
        <w:t xml:space="preserve">кількох залишків з альтернативними конформаціями. По-четверте,</w:t>
      </w:r>
      <w:r>
        <w:t xml:space="preserve"> </w:t>
      </w:r>
      <w:r>
        <w:t xml:space="preserve">восьмидескрипторний «відбиток» fpocket — грубий наближений показник для істинної</w:t>
      </w:r>
      <w:r>
        <w:t xml:space="preserve"> </w:t>
      </w:r>
      <w:r>
        <w:t xml:space="preserve">тривимірної форми кишені та електростатичної комплементарності;</w:t>
      </w:r>
      <w:r>
        <w:t xml:space="preserve"> </w:t>
      </w:r>
      <w:r>
        <w:t xml:space="preserve">спеціалізовані методи порівняння кишень (наприклад, IsoMIF, KRIPO,</w:t>
      </w:r>
      <w:r>
        <w:t xml:space="preserve"> </w:t>
      </w:r>
      <w:r>
        <w:t xml:space="preserve">ProBiS) забезпечили б строгіше, хоча й обчислювально дорожче,</w:t>
      </w:r>
      <w:r>
        <w:t xml:space="preserve"> </w:t>
      </w:r>
      <w:r>
        <w:t xml:space="preserve">порівняння. По-п’яте, масова експресія РНК у тканині (Human Protein</w:t>
      </w:r>
      <w:r>
        <w:t xml:space="preserve"> </w:t>
      </w:r>
      <w:r>
        <w:t xml:space="preserve">Atlas, дані на основі GTEx) не розрізняє експресію в гангліях задніх</w:t>
      </w:r>
      <w:r>
        <w:t xml:space="preserve"> </w:t>
      </w:r>
      <w:r>
        <w:t xml:space="preserve">корінців/периферичних нервових закінченнях конкретно — тканинному</w:t>
      </w:r>
      <w:r>
        <w:t xml:space="preserve"> </w:t>
      </w:r>
      <w:r>
        <w:t xml:space="preserve">компартменті, найбільш релевантному фактичному місцю дії топічного</w:t>
      </w:r>
      <w:r>
        <w:t xml:space="preserve"> </w:t>
      </w:r>
      <w:r>
        <w:t xml:space="preserve">анальгетика, — тож цей скринінг фіксує ризик ко-локалізації в тканині</w:t>
      </w:r>
      <w:r>
        <w:t xml:space="preserve"> </w:t>
      </w:r>
      <w:r>
        <w:t xml:space="preserve">шкіри, а не ризик ко-експресії на нервовому закінченні. По-шосте,</w:t>
      </w:r>
      <w:r>
        <w:t xml:space="preserve"> </w:t>
      </w:r>
      <w:r>
        <w:t xml:space="preserve">проскринено лише ярус найвищої достовірності генів-кандидатів (26 із</w:t>
      </w:r>
      <w:r>
        <w:t xml:space="preserve"> </w:t>
      </w:r>
      <w:r>
        <w:t xml:space="preserve">118, що пройшли початковий фільтр придатності до фармакологічного</w:t>
      </w:r>
      <w:r>
        <w:t xml:space="preserve"> </w:t>
      </w:r>
      <w:r>
        <w:t xml:space="preserve">модулювання); кілька біологічно правдоподібних больово/запально-релевантних</w:t>
      </w:r>
      <w:r>
        <w:t xml:space="preserve"> </w:t>
      </w:r>
      <w:r>
        <w:t xml:space="preserve">кандидатів, виявлених на етапі складання списку мішеней</w:t>
      </w:r>
      <w:r>
        <w:t xml:space="preserve"> </w:t>
      </w:r>
      <w:r>
        <w:t xml:space="preserve">(циклооксигеназа-1/PTGS1, рецептори лейкотрієну B4 LTB4R/LTB4R2,</w:t>
      </w:r>
      <w:r>
        <w:t xml:space="preserve"> </w:t>
      </w:r>
      <w:r>
        <w:t xml:space="preserve">нікотинові кислотні рецептори HCAR2/HCAR3), ще не оцінені. По-сьоме,</w:t>
      </w:r>
      <w:r>
        <w:t xml:space="preserve"> </w:t>
      </w:r>
      <w:r>
        <w:t xml:space="preserve">значення EC50 на TRPV1, використані для впорядкування референсного ряду</w:t>
      </w:r>
      <w:r>
        <w:t xml:space="preserve"> </w:t>
      </w:r>
      <w:r>
        <w:t xml:space="preserve">лігандів (Таблиця 2), зведені з відкритих джерел біоактивності/літератури</w:t>
      </w:r>
      <w:r>
        <w:t xml:space="preserve"> </w:t>
      </w:r>
      <w:r>
        <w:t xml:space="preserve">без підтвердження, що всі сім вимірювані в безпосередньо порівнянному</w:t>
      </w:r>
      <w:r>
        <w:t xml:space="preserve"> </w:t>
      </w:r>
      <w:r>
        <w:t xml:space="preserve">форматі тесту (assay); ряд використовується тут якісно, щоб охопити</w:t>
      </w:r>
      <w:r>
        <w:t xml:space="preserve"> </w:t>
      </w:r>
      <w:r>
        <w:t xml:space="preserve">широкий діапазон потужності, і колонку EC50 не варто читати як точно</w:t>
      </w:r>
      <w:r>
        <w:t xml:space="preserve"> </w:t>
      </w:r>
      <w:r>
        <w:t xml:space="preserve">порівнянну кількісну шкалу між сполуками без звірки з першоджерелом для</w:t>
      </w:r>
      <w:r>
        <w:t xml:space="preserve"> </w:t>
      </w:r>
      <w:r>
        <w:t xml:space="preserve">кожного значення. По-восьме, порівняння представлень ESM-2 (п. 2.6/3.5)</w:t>
      </w:r>
      <w:r>
        <w:t xml:space="preserve"> </w:t>
      </w:r>
      <w:r>
        <w:t xml:space="preserve">дає по одному вбудованню на білок без оцінки невизначеності чи</w:t>
      </w:r>
      <w:r>
        <w:t xml:space="preserve"> </w:t>
      </w:r>
      <w:r>
        <w:t xml:space="preserve">ансамблю, тож розкид ~0.03–0.04 між TRPV2–4 і TRPV5/6 слід трактувати</w:t>
      </w:r>
      <w:r>
        <w:t xml:space="preserve"> </w:t>
      </w:r>
      <w:r>
        <w:t xml:space="preserve">як орієнтовний, а не як статистично перевірене розділення (істинних</w:t>
      </w:r>
      <w:r>
        <w:t xml:space="preserve"> </w:t>
      </w:r>
      <w:r>
        <w:t xml:space="preserve">міток, на яких можна було б побудувати перевірку дискримінації на зразок</w:t>
      </w:r>
      <w:r>
        <w:t xml:space="preserve"> </w:t>
      </w:r>
      <w:r>
        <w:t xml:space="preserve">п. 3.4, тут не існує); порівняння для TRPV6 використовує на одну позицію</w:t>
      </w:r>
      <w:r>
        <w:t xml:space="preserve"> </w:t>
      </w:r>
      <w:r>
        <w:t xml:space="preserve">менше (3 проти 4) через реальний пропуск вирівнювання; розмір вікна</w:t>
      </w:r>
      <w:r>
        <w:t xml:space="preserve"> </w:t>
      </w:r>
      <w:r>
        <w:t xml:space="preserve">(±2 залишки) не оптимізувався, а вужче або ширше вікно змістило б</w:t>
      </w:r>
      <w:r>
        <w:t xml:space="preserve"> </w:t>
      </w:r>
      <w:r>
        <w:t xml:space="preserve">баланс між «специфічним для заміни» та «локально-контекстним» сигналом,</w:t>
      </w:r>
      <w:r>
        <w:t xml:space="preserve"> </w:t>
      </w:r>
      <w:r>
        <w:t xml:space="preserve">обговореним у п. 3.5, тож перед тим, як опиратися на цей метод для</w:t>
      </w:r>
      <w:r>
        <w:t xml:space="preserve"> </w:t>
      </w:r>
      <w:r>
        <w:t xml:space="preserve">сильнішого твердження, потрібна перевірка чутливості. Застосувати цей</w:t>
      </w:r>
      <w:r>
        <w:t xml:space="preserve"> </w:t>
      </w:r>
      <w:r>
        <w:t xml:space="preserve">самий підхід до позамішеневого порівняння RARG/MMP3 неможливо за</w:t>
      </w:r>
      <w:r>
        <w:t xml:space="preserve"> </w:t>
      </w:r>
      <w:r>
        <w:t xml:space="preserve">побудовою: порезидуальне порівняння ESM вимагає справжнього вирівнювання</w:t>
      </w:r>
      <w:r>
        <w:t xml:space="preserve"> </w:t>
      </w:r>
      <w:r>
        <w:t xml:space="preserve">послідовностей між гомологічними білками, а RARG і MMP3 не споріднені з</w:t>
      </w:r>
      <w:r>
        <w:t xml:space="preserve"> </w:t>
      </w:r>
      <w:r>
        <w:t xml:space="preserve">TRPV1 за послідовністю — саме тому для них використано геометричний</w:t>
      </w:r>
      <w:r>
        <w:t xml:space="preserve"> </w:t>
      </w:r>
      <w:r>
        <w:t xml:space="preserve">скринінг fpocket.</w:t>
      </w:r>
    </w:p>
    <w:p>
      <w:pPr>
        <w:pStyle w:val="BodyText"/>
      </w:pPr>
      <w:r>
        <w:t xml:space="preserve">Попри ці застереження, практичний висновок для програми топічного</w:t>
      </w:r>
      <w:r>
        <w:t xml:space="preserve"> </w:t>
      </w:r>
      <w:r>
        <w:t xml:space="preserve">TRPV1 прямий для RARG: контрскринінг (щонайменше — перевірка за</w:t>
      </w:r>
      <w:r>
        <w:t xml:space="preserve"> </w:t>
      </w:r>
      <w:r>
        <w:t xml:space="preserve">літературою/базами біоактивності; в ідеалі — реальний функціональний тест</w:t>
      </w:r>
      <w:r>
        <w:t xml:space="preserve"> </w:t>
      </w:r>
      <w:r>
        <w:t xml:space="preserve">зв’язування чи трансактивації) — розумний кандидат для ранньої</w:t>
      </w:r>
      <w:r>
        <w:t xml:space="preserve"> </w:t>
      </w:r>
      <w:r>
        <w:t xml:space="preserve">пріоритизації для будь-якої сполуки, що просувається в цьому хімічному</w:t>
      </w:r>
      <w:r>
        <w:t xml:space="preserve"> </w:t>
      </w:r>
      <w:r>
        <w:t xml:space="preserve">ряду, а не питання, яке відкладають до того, як сполуку-лідера вже</w:t>
      </w:r>
      <w:r>
        <w:t xml:space="preserve"> </w:t>
      </w:r>
      <w:r>
        <w:t xml:space="preserve">обрано, — саме тому, що поставити це питання рано дешево, відповіді поки</w:t>
      </w:r>
      <w:r>
        <w:t xml:space="preserve"> </w:t>
      </w:r>
      <w:r>
        <w:t xml:space="preserve">немає, і тепер це підтримано двома незалежними лініями обчислювальних</w:t>
      </w:r>
      <w:r>
        <w:t xml:space="preserve"> </w:t>
      </w:r>
      <w:r>
        <w:t xml:space="preserve">доказів (подібність кишень/крос-докінг і перевірка дискримінації на</w:t>
      </w:r>
      <w:r>
        <w:t xml:space="preserve"> </w:t>
      </w:r>
      <w:r>
        <w:t xml:space="preserve">істинних даних, п. 3.4), а не однією. MMP3 — інший випадок: перевірка на</w:t>
      </w:r>
      <w:r>
        <w:t xml:space="preserve"> </w:t>
      </w:r>
      <w:r>
        <w:t xml:space="preserve">істинних даних (п. 3.4) показує, що протокол докінгу не здатний</w:t>
      </w:r>
      <w:r>
        <w:t xml:space="preserve"> </w:t>
      </w:r>
      <w:r>
        <w:t xml:space="preserve">розділити відомі зв’язувачі MMP3 від незв’язувачів навіть з урахуванням</w:t>
      </w:r>
      <w:r>
        <w:t xml:space="preserve"> </w:t>
      </w:r>
      <w:r>
        <w:t xml:space="preserve">фізики цинку, а це означає, що сигнал крос-докінгу MMP3 з Таблиці 2 не</w:t>
      </w:r>
      <w:r>
        <w:t xml:space="preserve"> </w:t>
      </w:r>
      <w:r>
        <w:t xml:space="preserve">слід використовувати для пріоритизації чи депріоритизації рішення про</w:t>
      </w:r>
      <w:r>
        <w:t xml:space="preserve"> </w:t>
      </w:r>
      <w:r>
        <w:t xml:space="preserve">контрскринінг у жодному напрямку — це не доказ ризику, але й не доказ</w:t>
      </w:r>
      <w:r>
        <w:t xml:space="preserve"> </w:t>
      </w:r>
      <w:r>
        <w:t xml:space="preserve">безпеки, оскільки метод, що його породив, не показав здатності</w:t>
      </w:r>
      <w:r>
        <w:t xml:space="preserve"> </w:t>
      </w:r>
      <w:r>
        <w:t xml:space="preserve">працювати на цій мішені. Перевірка за літературою/базами біоактивності</w:t>
      </w:r>
      <w:r>
        <w:t xml:space="preserve"> </w:t>
      </w:r>
      <w:r>
        <w:t xml:space="preserve">для MMP3 залишається дешевою і розумною незалежно від цього, оскільки</w:t>
      </w:r>
      <w:r>
        <w:t xml:space="preserve"> </w:t>
      </w:r>
      <w:r>
        <w:t xml:space="preserve">вона не залежить від протоколу докінгу взагалі; тест на ферментативне</w:t>
      </w:r>
      <w:r>
        <w:t xml:space="preserve"> </w:t>
      </w:r>
      <w:r>
        <w:t xml:space="preserve">інгібування — питання загальної належної обачності для цього</w:t>
      </w:r>
      <w:r>
        <w:t xml:space="preserve"> </w:t>
      </w:r>
      <w:r>
        <w:t xml:space="preserve">хемотипу, а не щось, що специфічно мотивоване результатом докінгу цього</w:t>
      </w:r>
      <w:r>
        <w:t xml:space="preserve"> </w:t>
      </w:r>
      <w:r>
        <w:t xml:space="preserve">скринінгу. Оскільки сигнал RARG охоплює більшу частину дослідженого</w:t>
      </w:r>
      <w:r>
        <w:t xml:space="preserve"> </w:t>
      </w:r>
      <w:r>
        <w:t xml:space="preserve">ряду, а не концентрується в менших лігандах, не варто припускати, що</w:t>
      </w:r>
      <w:r>
        <w:t xml:space="preserve"> </w:t>
      </w:r>
      <w:r>
        <w:t xml:space="preserve">вікно відбору за молекулярною масою/logP, оптимізоване для топічної</w:t>
      </w:r>
      <w:r>
        <w:t xml:space="preserve"> </w:t>
      </w:r>
      <w:r>
        <w:t xml:space="preserve">доставки (200–450 Да, logP 1.0–4.0, уже використовуване в іншому місці</w:t>
      </w:r>
      <w:r>
        <w:t xml:space="preserve"> </w:t>
      </w:r>
      <w:r>
        <w:t xml:space="preserve">курації хімічної бібліотеки цієї програми з міркувань проникності [17,27]),</w:t>
      </w:r>
      <w:r>
        <w:t xml:space="preserve"> </w:t>
      </w:r>
      <w:r>
        <w:t xml:space="preserve">пом’якшує саме цей ризик лише за рахунок відбору менших кандидатів. У</w:t>
      </w:r>
      <w:r>
        <w:t xml:space="preserve"> </w:t>
      </w:r>
      <w:r>
        <w:t xml:space="preserve">ширшому сенсі, описаний тут пайплайн — фільтрація тканинної</w:t>
      </w:r>
      <w:r>
        <w:t xml:space="preserve"> </w:t>
      </w:r>
      <w:r>
        <w:t xml:space="preserve">експресії, порівняння кишень на основі детекції порожнин і</w:t>
      </w:r>
      <w:r>
        <w:t xml:space="preserve"> </w:t>
      </w:r>
      <w:r>
        <w:t xml:space="preserve">цілеспрямований крос-докінг — не потребував жодних експериментальних</w:t>
      </w:r>
      <w:r>
        <w:t xml:space="preserve"> </w:t>
      </w:r>
      <w:r>
        <w:t xml:space="preserve">даних понад структури, вже наявні у відкритому доступі, та</w:t>
      </w:r>
      <w:r>
        <w:t xml:space="preserve"> </w:t>
      </w:r>
      <w:r>
        <w:t xml:space="preserve">інструменти, вже провалідовані для основної мішені, що робить його</w:t>
      </w:r>
      <w:r>
        <w:t xml:space="preserve"> </w:t>
      </w:r>
      <w:r>
        <w:t xml:space="preserve">недорогим доповненням до тріажу за позамішеневими мішенями на ранній</w:t>
      </w:r>
      <w:r>
        <w:t xml:space="preserve"> </w:t>
      </w:r>
      <w:r>
        <w:t xml:space="preserve">стадії для будь-якої топічної чи іншим чином просторово-обмеженої</w:t>
      </w:r>
      <w:r>
        <w:t xml:space="preserve"> </w:t>
      </w:r>
      <w:r>
        <w:t xml:space="preserve">програми малих молекул, а не лише для цієї.</w:t>
      </w:r>
    </w:p>
    <w:bookmarkEnd w:id="24"/>
    <w:bookmarkStart w:id="25" w:name="висновки"/>
    <w:p>
      <w:pPr>
        <w:pStyle w:val="Heading2"/>
      </w:pPr>
      <w:r>
        <w:t xml:space="preserve">5. Висновки</w:t>
      </w:r>
    </w:p>
    <w:p>
      <w:pPr>
        <w:pStyle w:val="FirstParagraph"/>
      </w:pPr>
      <w:r>
        <w:t xml:space="preserve">Ранжування родини паралогів TRPV1 за ідентичністю послідовності</w:t>
      </w:r>
      <w:r>
        <w:t xml:space="preserve"> </w:t>
      </w:r>
      <w:r>
        <w:t xml:space="preserve">всього білка коректно позначає родину як групу, значущу для безпеки,</w:t>
      </w:r>
      <w:r>
        <w:t xml:space="preserve"> </w:t>
      </w:r>
      <w:r>
        <w:t xml:space="preserve">але неправильно впорядковує відносний ризик на рівні сайту зв’язування</w:t>
      </w:r>
      <w:r>
        <w:t xml:space="preserve"> </w:t>
      </w:r>
      <w:r>
        <w:t xml:space="preserve">всередині неї, оскільки функціонально значущий регіон (ванілоїдна</w:t>
      </w:r>
      <w:r>
        <w:t xml:space="preserve"> </w:t>
      </w:r>
      <w:r>
        <w:t xml:space="preserve">кишеня) консервативний або дивергований з іншою швидкістю, ніж білок у</w:t>
      </w:r>
      <w:r>
        <w:t xml:space="preserve"> </w:t>
      </w:r>
      <w:r>
        <w:t xml:space="preserve">цілому. Ризик за позамішеневими мішенями для програми топічного TRPV1</w:t>
      </w:r>
      <w:r>
        <w:t xml:space="preserve"> </w:t>
      </w:r>
      <w:r>
        <w:t xml:space="preserve">не обмежується цією родиною: структурний, інформований експресією</w:t>
      </w:r>
      <w:r>
        <w:t xml:space="preserve"> </w:t>
      </w:r>
      <w:r>
        <w:t xml:space="preserve">скринінг виявив RARG і MMP3 — обидва білки, не споріднені з TRPV1 за</w:t>
      </w:r>
      <w:r>
        <w:t xml:space="preserve"> </w:t>
      </w:r>
      <w:r>
        <w:t xml:space="preserve">послідовністю, — що демонструють показники докінгу Vina проти більшості</w:t>
      </w:r>
      <w:r>
        <w:t xml:space="preserve"> </w:t>
      </w:r>
      <w:r>
        <w:t xml:space="preserve">референсного ряду агоністів програми, чисельно порівнянні з показниками</w:t>
      </w:r>
      <w:r>
        <w:t xml:space="preserve"> </w:t>
      </w:r>
      <w:r>
        <w:t xml:space="preserve">проти самого TRPV1, з resiniferatoxin (найоб’ємнішим, структурно</w:t>
      </w:r>
      <w:r>
        <w:t xml:space="preserve"> </w:t>
      </w:r>
      <w:r>
        <w:t xml:space="preserve">найскладнішим протестованим лігандом) як стабільним винятком на обох</w:t>
      </w:r>
      <w:r>
        <w:t xml:space="preserve"> </w:t>
      </w:r>
      <w:r>
        <w:t xml:space="preserve">мішенях. Подальша перевірка дискримінації на істинних даних (п. 3.4)</w:t>
      </w:r>
      <w:r>
        <w:t xml:space="preserve"> </w:t>
      </w:r>
      <w:r>
        <w:t xml:space="preserve">розділяє ці дві знахідки: RARG показав справжнє розділення</w:t>
      </w:r>
      <w:r>
        <w:t xml:space="preserve"> </w:t>
      </w:r>
      <w:r>
        <w:t xml:space="preserve">активних/неактивних сполук за показником докінгу (ROC-AUC 0.811), що</w:t>
      </w:r>
      <w:r>
        <w:t xml:space="preserve"> </w:t>
      </w:r>
      <w:r>
        <w:t xml:space="preserve">незалежно підтверджує результат крос-докінгу, тоді як MMP3 — ні</w:t>
      </w:r>
      <w:r>
        <w:t xml:space="preserve"> </w:t>
      </w:r>
      <w:r>
        <w:t xml:space="preserve">(ROC-AUC 0.503, і незмінно близько до випадковості на рівні 0.551</w:t>
      </w:r>
      <w:r>
        <w:t xml:space="preserve"> </w:t>
      </w:r>
      <w:r>
        <w:t xml:space="preserve">навіть з урахуванням фізики координації цинку). Це обчислювальна</w:t>
      </w:r>
      <w:r>
        <w:t xml:space="preserve"> </w:t>
      </w:r>
      <w:r>
        <w:t xml:space="preserve">гіпотеза, а не демонстрація реального зв’язування, і сама по собі вона</w:t>
      </w:r>
      <w:r>
        <w:t xml:space="preserve"> </w:t>
      </w:r>
      <w:r>
        <w:t xml:space="preserve">не встановлює RARG як підтверджений ризик безпеки; для MMP3 вона так</w:t>
      </w:r>
      <w:r>
        <w:t xml:space="preserve"> </w:t>
      </w:r>
      <w:r>
        <w:t xml:space="preserve">само не встановлює ризику — саме тому, що провал перевірки дискримінації</w:t>
      </w:r>
      <w:r>
        <w:t xml:space="preserve"> </w:t>
      </w:r>
      <w:r>
        <w:t xml:space="preserve">робить сигнал крос-докінгу непридатним для інтерпретації, а не</w:t>
      </w:r>
      <w:r>
        <w:t xml:space="preserve"> </w:t>
      </w:r>
      <w:r>
        <w:t xml:space="preserve">негативним. Ми рекомендуємо перенести RARG як пріоритетного кандидата</w:t>
      </w:r>
      <w:r>
        <w:t xml:space="preserve"> </w:t>
      </w:r>
      <w:r>
        <w:t xml:space="preserve">для цілеспрямованого експериментального контрскринінгу, а MMP3 —</w:t>
      </w:r>
      <w:r>
        <w:t xml:space="preserve"> </w:t>
      </w:r>
      <w:r>
        <w:t xml:space="preserve">як відкрите, методологічно невирішене питання, варте дешевої перевірки</w:t>
      </w:r>
      <w:r>
        <w:t xml:space="preserve"> </w:t>
      </w:r>
      <w:r>
        <w:t xml:space="preserve">за літературою/базами біоактивності, але не зважене результатом</w:t>
      </w:r>
      <w:r>
        <w:t xml:space="preserve"> </w:t>
      </w:r>
      <w:r>
        <w:t xml:space="preserve">докінгу цього дослідження в жодному напрямку, до появи або протоколу</w:t>
      </w:r>
      <w:r>
        <w:t xml:space="preserve"> </w:t>
      </w:r>
      <w:r>
        <w:t xml:space="preserve">докінгу, здатного розрізняти відомі зв’язувачі MMP3, або прямих</w:t>
      </w:r>
      <w:r>
        <w:t xml:space="preserve"> </w:t>
      </w:r>
      <w:r>
        <w:t xml:space="preserve">експериментальних даних. Ми пропонуємо базовий пайплайн, включно з</w:t>
      </w:r>
      <w:r>
        <w:t xml:space="preserve"> </w:t>
      </w:r>
      <w:r>
        <w:t xml:space="preserve">перевіркою дискримінації на істинних даних, що розділила ці два</w:t>
      </w:r>
      <w:r>
        <w:t xml:space="preserve"> </w:t>
      </w:r>
      <w:r>
        <w:t xml:space="preserve">результати, як придатний до повторного використання, недорогий</w:t>
      </w:r>
      <w:r>
        <w:t xml:space="preserve"> </w:t>
      </w:r>
      <w:r>
        <w:t xml:space="preserve">гіпотезогенерувальний крок пре-lead тріажу для інших програм відкриття</w:t>
      </w:r>
      <w:r>
        <w:t xml:space="preserve"> </w:t>
      </w:r>
      <w:r>
        <w:t xml:space="preserve">топічних малих молекул.</w:t>
      </w:r>
    </w:p>
    <w:bookmarkEnd w:id="25"/>
    <w:bookmarkStart w:id="26" w:name="внесок-авторів"/>
    <w:p>
      <w:pPr>
        <w:pStyle w:val="Heading2"/>
      </w:pPr>
      <w:r>
        <w:t xml:space="preserve">Внесок авторів</w:t>
      </w:r>
    </w:p>
    <w:p>
      <w:pPr>
        <w:pStyle w:val="FirstParagraph"/>
      </w:pPr>
      <w:r>
        <w:rPr>
          <w:i/>
          <w:iCs/>
        </w:rPr>
        <w:t xml:space="preserve">[заповнити]</w:t>
      </w:r>
    </w:p>
    <w:bookmarkEnd w:id="26"/>
    <w:bookmarkStart w:id="27" w:name="доступність-даних-і-коду"/>
    <w:p>
      <w:pPr>
        <w:pStyle w:val="Heading2"/>
      </w:pPr>
      <w:r>
        <w:t xml:space="preserve">Доступність даних і коду</w:t>
      </w:r>
    </w:p>
    <w:p>
      <w:pPr>
        <w:pStyle w:val="FirstParagraph"/>
      </w:pPr>
      <w:r>
        <w:t xml:space="preserve">Усі скрипти, схеми проміжних даних і підсумкові таблиці результатів, що</w:t>
      </w:r>
      <w:r>
        <w:t xml:space="preserve"> </w:t>
      </w:r>
      <w:r>
        <w:t xml:space="preserve">лежать в основі цієї роботи, зібрані в репозиторії</w:t>
      </w:r>
      <w:r>
        <w:t xml:space="preserve"> </w:t>
      </w:r>
      <w:r>
        <w:rPr>
          <w:rStyle w:val="VerbatimChar"/>
        </w:rPr>
        <w:t xml:space="preserve">trpv1-offtarget-safety-screen</w:t>
      </w:r>
      <w:r>
        <w:t xml:space="preserve"> </w:t>
      </w:r>
      <w:r>
        <w:t xml:space="preserve">(https://github.com/danil25-stack/trpv1-offtarget-safety-screen) з такою</w:t>
      </w:r>
      <w:r>
        <w:t xml:space="preserve"> </w:t>
      </w:r>
      <w:r>
        <w:t xml:space="preserve">структурою:</w:t>
      </w:r>
      <w:r>
        <w:t xml:space="preserve"> </w:t>
      </w:r>
      <w:r>
        <w:rPr>
          <w:rStyle w:val="VerbatimChar"/>
        </w:rPr>
        <w:t xml:space="preserve">target_validation/</w:t>
      </w:r>
      <w:r>
        <w:t xml:space="preserve"> </w:t>
      </w:r>
      <w:r>
        <w:t xml:space="preserve">(порівняння кишень, біоактивність</w:t>
      </w:r>
      <w:r>
        <w:t xml:space="preserve"> </w:t>
      </w:r>
      <w:r>
        <w:t xml:space="preserve">ChEMBL, статистика, рисунки, описи, рукопис),</w:t>
      </w:r>
      <w:r>
        <w:t xml:space="preserve"> </w:t>
      </w:r>
      <w:r>
        <w:rPr>
          <w:rStyle w:val="VerbatimChar"/>
        </w:rPr>
        <w:t xml:space="preserve">docking/</w:t>
      </w:r>
      <w:r>
        <w:t xml:space="preserve"> </w:t>
      </w:r>
      <w:r>
        <w:t xml:space="preserve">(крос-докінг</w:t>
      </w:r>
      <w:r>
        <w:t xml:space="preserve"> </w:t>
      </w:r>
      <w:r>
        <w:t xml:space="preserve">Vina та AD4Zn проти відібраних позамішеневих мішеней),</w:t>
      </w:r>
      <w:r>
        <w:t xml:space="preserve"> </w:t>
      </w:r>
      <w:r>
        <w:rPr>
          <w:rStyle w:val="VerbatimChar"/>
        </w:rPr>
        <w:t xml:space="preserve">common/</w:t>
      </w:r>
      <w:r>
        <w:t xml:space="preserve"> </w:t>
      </w:r>
      <w:r>
        <w:t xml:space="preserve">(клієнт API Open Targets) і</w:t>
      </w:r>
      <w:r>
        <w:t xml:space="preserve"> </w:t>
      </w:r>
      <w:r>
        <w:rPr>
          <w:rStyle w:val="VerbatimChar"/>
        </w:rPr>
        <w:t xml:space="preserve">docker/</w:t>
      </w:r>
      <w:r>
        <w:t xml:space="preserve"> </w:t>
      </w:r>
      <w:r>
        <w:t xml:space="preserve">(conda-середовища та Dockerfile</w:t>
      </w:r>
      <w:r>
        <w:t xml:space="preserve"> </w:t>
      </w:r>
      <w:r>
        <w:t xml:space="preserve">для двох обчислювальних етапів — докінгу та ESM). Сирі й промiжні дані</w:t>
      </w:r>
      <w:r>
        <w:t xml:space="preserve"> </w:t>
      </w:r>
      <w:r>
        <w:t xml:space="preserve">(файли структур, вивантаження ChEMBL, пози докінгу) до репозиторію не</w:t>
      </w:r>
      <w:r>
        <w:t xml:space="preserve"> </w:t>
      </w:r>
      <w:r>
        <w:t xml:space="preserve">включені — їх відтворює повторний запуск скриптів; зберігаються лише</w:t>
      </w:r>
      <w:r>
        <w:t xml:space="preserve"> </w:t>
      </w:r>
      <w:r>
        <w:t xml:space="preserve">підсумкові рисунки та письмові результати. Логіка вирівнювання позицій</w:t>
      </w:r>
      <w:r>
        <w:t xml:space="preserve"> </w:t>
      </w:r>
      <w:r>
        <w:t xml:space="preserve">кишені покрита модульними тестами без залежності від GPU чи мережі</w:t>
      </w:r>
      <w:r>
        <w:t xml:space="preserve"> </w:t>
      </w:r>
      <w:r>
        <w:t xml:space="preserve">(</w:t>
      </w:r>
      <w:r>
        <w:rPr>
          <w:rStyle w:val="VerbatimChar"/>
        </w:rPr>
        <w:t xml:space="preserve">pytest target_validation/</w:t>
      </w:r>
      <w:r>
        <w:t xml:space="preserve">), які виконуються в CI</w:t>
      </w:r>
      <w:r>
        <w:t xml:space="preserve"> </w:t>
      </w:r>
      <w:r>
        <w:t xml:space="preserve">(</w:t>
      </w:r>
      <w:r>
        <w:rPr>
          <w:rStyle w:val="VerbatimChar"/>
        </w:rPr>
        <w:t xml:space="preserve">.github/workflows/tests.yml</w:t>
      </w:r>
      <w:r>
        <w:t xml:space="preserve">). Три перехресних посилання вказують на</w:t>
      </w:r>
      <w:r>
        <w:t xml:space="preserve"> </w:t>
      </w:r>
      <w:r>
        <w:t xml:space="preserve">файли батьківського (закритого) проєкту і не потрібні для</w:t>
      </w:r>
      <w:r>
        <w:t xml:space="preserve"> </w:t>
      </w:r>
      <w:r>
        <w:t xml:space="preserve">відтворення нічого в цьому репозиторії: пілот часу перебування за</w:t>
      </w:r>
      <w:r>
        <w:t xml:space="preserve"> </w:t>
      </w:r>
      <w:r>
        <w:t xml:space="preserve">даними молекулярної динаміки TRPV1 (</w:t>
      </w:r>
      <w:r>
        <w:rPr>
          <w:rStyle w:val="VerbatimChar"/>
        </w:rPr>
        <w:t xml:space="preserve">md_residence_time/STATUS.md</w:t>
      </w:r>
      <w:r>
        <w:t xml:space="preserve">),</w:t>
      </w:r>
      <w:r>
        <w:t xml:space="preserve"> </w:t>
      </w:r>
      <w:r>
        <w:t xml:space="preserve">smoke-тест докінгу (</w:t>
      </w:r>
      <w:r>
        <w:rPr>
          <w:rStyle w:val="VerbatimChar"/>
        </w:rPr>
        <w:t xml:space="preserve">docking/SMOKE_TEST.md</w:t>
      </w:r>
      <w:r>
        <w:t xml:space="preserve">) і опис тріажу</w:t>
      </w:r>
      <w:r>
        <w:t xml:space="preserve"> </w:t>
      </w:r>
      <w:r>
        <w:t xml:space="preserve">різноманітності ZINC (</w:t>
      </w:r>
      <w:r>
        <w:rPr>
          <w:rStyle w:val="VerbatimChar"/>
        </w:rPr>
        <w:t xml:space="preserve">docking/ZINC_TRIAGE.md</w:t>
      </w:r>
      <w:r>
        <w:t xml:space="preserve">).</w:t>
      </w:r>
    </w:p>
    <w:p>
      <w:pPr>
        <w:pStyle w:val="BodyText"/>
      </w:pPr>
      <w:r>
        <w:t xml:space="preserve">Репозиторій відкритий публічно; доступність посилання перевірено</w:t>
      </w:r>
      <w:r>
        <w:t xml:space="preserve"> </w:t>
      </w:r>
      <w:r>
        <w:t xml:space="preserve">8 жовтня 2026 р. Матеріали батьківського проєкту, на які вказують</w:t>
      </w:r>
      <w:r>
        <w:t xml:space="preserve"> </w:t>
      </w:r>
      <w:r>
        <w:t xml:space="preserve">перехресні посилання вище, залишаються закритими і доступні від автора</w:t>
      </w:r>
      <w:r>
        <w:t xml:space="preserve"> </w:t>
      </w:r>
      <w:r>
        <w:t xml:space="preserve">для листування за запитом.</w:t>
      </w:r>
    </w:p>
    <w:p>
      <w:pPr>
        <w:pStyle w:val="BodyText"/>
      </w:pPr>
      <w:r>
        <w:t xml:space="preserve">Походження кожного результату наведено в таблиці нижче.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Результат</w:t>
            </w:r>
          </w:p>
        </w:tc>
        <w:tc>
          <w:tcPr/>
          <w:p>
            <w:pPr>
              <w:pStyle w:val="Compact"/>
            </w:pPr>
            <w:r>
              <w:t xml:space="preserve">Скрипт</w:t>
            </w:r>
          </w:p>
        </w:tc>
        <w:tc>
          <w:tcPr/>
          <w:p>
            <w:pPr>
              <w:pStyle w:val="Compact"/>
            </w:pPr>
            <w:r>
              <w:t xml:space="preserve">Вихід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Профіль паралогів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target_validation/build_profile.py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target_validation/profiles/TRPV1.md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Список кандидатів по шкірі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target_validation/fetch_skin_targets.py</w:t>
            </w:r>
          </w:p>
        </w:tc>
        <w:tc>
          <w:tcPr/>
          <w:p>
            <w:pPr>
              <w:pStyle w:val="Compact"/>
            </w:pPr>
            <w:r>
              <w:t xml:space="preserve">таблиця анотації кожної мішені по шкірі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Отримання структур кандидатів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target_validation/fetch_tier1_structures.py</w:t>
            </w:r>
          </w:p>
        </w:tc>
        <w:tc>
          <w:tcPr/>
          <w:p>
            <w:pPr>
              <w:pStyle w:val="Compact"/>
            </w:pPr>
            <w:r>
              <w:t xml:space="preserve">файли структур рецепторів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Порівняння кишень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target_validation/compare_pockets.py</w:t>
            </w:r>
          </w:p>
        </w:tc>
        <w:tc>
          <w:tcPr/>
          <w:p>
            <w:pPr>
              <w:pStyle w:val="Compact"/>
            </w:pPr>
            <w:r>
              <w:t xml:space="preserve">таблиці порівняння кишень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Визначення боксу докінгу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target_validation/box_from_pocket.py</w:t>
            </w:r>
          </w:p>
        </w:tc>
        <w:tc>
          <w:tcPr/>
          <w:p>
            <w:pPr>
              <w:pStyle w:val="Compact"/>
            </w:pPr>
            <w:r>
              <w:t xml:space="preserve">параметри боксу на мішень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Крос-докінг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docking/redock_offtarget.py</w:t>
            </w:r>
          </w:p>
        </w:tc>
        <w:tc>
          <w:tcPr/>
          <w:p>
            <w:pPr>
              <w:pStyle w:val="Compact"/>
            </w:pPr>
            <w:r>
              <w:t xml:space="preserve">результати докінгу на мішень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Отримання активних/неактивних сполук ChEMBL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target_validation/fetch_chembl_bioactivity.py</w:t>
            </w:r>
          </w:p>
        </w:tc>
        <w:tc>
          <w:tcPr/>
          <w:p>
            <w:pPr>
              <w:pStyle w:val="Compact"/>
            </w:pPr>
            <w:r>
              <w:t xml:space="preserve">класифіковані таблиці біоактивності на мішень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Підбір лігандів за властивостями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target_validation/sample_offtarget_ligands.py</w:t>
            </w:r>
          </w:p>
        </w:tc>
        <w:tc>
          <w:tcPr/>
          <w:p>
            <w:pPr>
              <w:pStyle w:val="Compact"/>
            </w:pPr>
            <w:r>
              <w:t xml:space="preserve">набори лігандів для перевірки дискримінації на мішень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Докінг для перевірки дискримінації (Vina)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docking/run_offtarget_validation.py</w:t>
            </w:r>
          </w:p>
        </w:tc>
        <w:tc>
          <w:tcPr/>
          <w:p>
            <w:pPr>
              <w:pStyle w:val="Compact"/>
            </w:pPr>
            <w:r>
              <w:t xml:space="preserve">результати перевірки дискримінації на мішень, ROC-AUC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Докінг для перевірки дискримінації (AD4Zn)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docking/run_ad4zn_validation.py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docking/prepare_gpf4zn_lite.py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docking/zinc_pseudo.py</w:t>
            </w:r>
          </w:p>
        </w:tc>
        <w:tc>
          <w:tcPr/>
          <w:p>
            <w:pPr>
              <w:pStyle w:val="Compact"/>
            </w:pPr>
            <w:r>
              <w:t xml:space="preserve">результати перевірки дискримінації MMP3 методом AD4Zn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Статистика дискримінації (bootstrap ДІ, Манн-Уітні</w:t>
            </w:r>
            <w:r>
              <w:t xml:space="preserve"> </w:t>
            </w:r>
            <w:r>
              <w:rPr>
                <w:i/>
                <w:iCs/>
              </w:rPr>
              <w:t xml:space="preserve">p</w:t>
            </w:r>
            <w:r>
              <w:t xml:space="preserve">, PR-AUC, перевірка змішування EC50)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target_validation/discrimination_stats.py</w:t>
            </w:r>
          </w:p>
        </w:tc>
        <w:tc>
          <w:tcPr/>
          <w:p>
            <w:pPr>
              <w:pStyle w:val="Compact"/>
            </w:pPr>
            <w:r>
              <w:t xml:space="preserve">статистика Таблиці 3;</w:t>
            </w:r>
            <w:r>
              <w:t xml:space="preserve"> </w:t>
            </w:r>
            <w:r>
              <w:rPr>
                <w:rStyle w:val="VerbatimChar"/>
              </w:rPr>
              <w:t xml:space="preserve">figures/roc_curves.png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figures/score_distributions.png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Воронка пайплайну та форми кишень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target_validation/render_pocket_figure.py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figures/pipeline_funnel.png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figures/pocket_shapes.png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Зіставлення залишків кишені між паралогами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target_validation/pocket_residue_alignment.py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target_validation/pocket_residue_alignment.csv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Локальна/глобальна подібність представлень ESM-2 (Таблиця 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target_validation/esm_pocket_embedding_similarity.py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target_validation/esm_pocket_similarity.csv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target_validation/esm_pocket_similarity.md</w:t>
            </w:r>
          </w:p>
        </w:tc>
      </w:tr>
    </w:tbl>
    <w:bookmarkEnd w:id="27"/>
    <w:bookmarkStart w:id="28" w:name="фінансування"/>
    <w:p>
      <w:pPr>
        <w:pStyle w:val="Heading2"/>
      </w:pPr>
      <w:r>
        <w:t xml:space="preserve">Фінансування</w:t>
      </w:r>
    </w:p>
    <w:p>
      <w:pPr>
        <w:pStyle w:val="FirstParagraph"/>
      </w:pPr>
      <w:r>
        <w:rPr>
          <w:i/>
          <w:iCs/>
        </w:rPr>
        <w:t xml:space="preserve">[заповнити]</w:t>
      </w:r>
    </w:p>
    <w:bookmarkEnd w:id="28"/>
    <w:bookmarkStart w:id="29" w:name="конфлікт-інтересів"/>
    <w:p>
      <w:pPr>
        <w:pStyle w:val="Heading2"/>
      </w:pPr>
      <w:r>
        <w:t xml:space="preserve">Конфлікт інтересів</w:t>
      </w:r>
    </w:p>
    <w:p>
      <w:pPr>
        <w:pStyle w:val="FirstParagraph"/>
      </w:pPr>
      <w:r>
        <w:rPr>
          <w:i/>
          <w:iCs/>
        </w:rPr>
        <w:t xml:space="preserve">[заповнити]</w:t>
      </w:r>
    </w:p>
    <w:bookmarkEnd w:id="29"/>
    <w:bookmarkStart w:id="30" w:name="список-літератури"/>
    <w:p>
      <w:pPr>
        <w:pStyle w:val="Heading2"/>
      </w:pPr>
      <w:r>
        <w:t xml:space="preserve">Список літератури</w:t>
      </w:r>
    </w:p>
    <w:p>
      <w:pPr>
        <w:pStyle w:val="Compact"/>
        <w:numPr>
          <w:ilvl w:val="0"/>
          <w:numId w:val="1001"/>
        </w:numPr>
      </w:pPr>
      <w:r>
        <w:t xml:space="preserve">Ochoa D, Hercules A, Carmona M, et al. The next-generation Open Targets</w:t>
      </w:r>
      <w:r>
        <w:t xml:space="preserve"> </w:t>
      </w:r>
      <w:r>
        <w:t xml:space="preserve">Platform: reimagined, redesigned, rebuilt.</w:t>
      </w:r>
      <w:r>
        <w:t xml:space="preserve"> </w:t>
      </w:r>
      <w:r>
        <w:rPr>
          <w:i/>
          <w:iCs/>
        </w:rPr>
        <w:t xml:space="preserve">Nucleic Acids Res.</w:t>
      </w:r>
      <w:r>
        <w:t xml:space="preserve"> </w:t>
      </w:r>
      <w:r>
        <w:t xml:space="preserve">2023;51(D1):D1353–D1359. doi:10.1093/nar/gkac1046</w:t>
      </w:r>
    </w:p>
    <w:p>
      <w:pPr>
        <w:pStyle w:val="Compact"/>
        <w:numPr>
          <w:ilvl w:val="0"/>
          <w:numId w:val="1001"/>
        </w:numPr>
      </w:pPr>
      <w:r>
        <w:t xml:space="preserve">Uhlén M, Fagerberg L, Hallström BM, et al. Tissue-based map of the human</w:t>
      </w:r>
      <w:r>
        <w:t xml:space="preserve"> </w:t>
      </w:r>
      <w:r>
        <w:t xml:space="preserve">proteome.</w:t>
      </w:r>
      <w:r>
        <w:t xml:space="preserve"> </w:t>
      </w:r>
      <w:r>
        <w:rPr>
          <w:i/>
          <w:iCs/>
        </w:rPr>
        <w:t xml:space="preserve">Science.</w:t>
      </w:r>
      <w:r>
        <w:t xml:space="preserve"> </w:t>
      </w:r>
      <w:r>
        <w:t xml:space="preserve">2015;347(6220):1260419. doi:10.1126/science.1260419</w:t>
      </w:r>
    </w:p>
    <w:p>
      <w:pPr>
        <w:pStyle w:val="Compact"/>
        <w:numPr>
          <w:ilvl w:val="0"/>
          <w:numId w:val="1001"/>
        </w:numPr>
      </w:pPr>
      <w:r>
        <w:t xml:space="preserve">Le Guilloux V, Schmidtke P, Tuffery P. Fpocket: an open source platform</w:t>
      </w:r>
      <w:r>
        <w:t xml:space="preserve"> </w:t>
      </w:r>
      <w:r>
        <w:t xml:space="preserve">for ligand pocket detection.</w:t>
      </w:r>
      <w:r>
        <w:t xml:space="preserve"> </w:t>
      </w:r>
      <w:r>
        <w:rPr>
          <w:i/>
          <w:iCs/>
        </w:rPr>
        <w:t xml:space="preserve">BMC Bioinformatics.</w:t>
      </w:r>
      <w:r>
        <w:t xml:space="preserve"> </w:t>
      </w:r>
      <w:r>
        <w:t xml:space="preserve">2009;10:168.</w:t>
      </w:r>
      <w:r>
        <w:t xml:space="preserve"> </w:t>
      </w:r>
      <w:r>
        <w:t xml:space="preserve">doi:10.1186/1471-2105-10-168</w:t>
      </w:r>
    </w:p>
    <w:p>
      <w:pPr>
        <w:pStyle w:val="Compact"/>
        <w:numPr>
          <w:ilvl w:val="0"/>
          <w:numId w:val="1001"/>
        </w:numPr>
      </w:pPr>
      <w:r>
        <w:t xml:space="preserve">Elokely K, Velisetty P, Delemotte L, Palovcak E, Klein ML, Rohacs T,</w:t>
      </w:r>
      <w:r>
        <w:t xml:space="preserve"> </w:t>
      </w:r>
      <w:r>
        <w:t xml:space="preserve">Carnevale V. Understanding TRPV1 activation by ligands: insights from</w:t>
      </w:r>
      <w:r>
        <w:t xml:space="preserve"> </w:t>
      </w:r>
      <w:r>
        <w:t xml:space="preserve">the binding modes of capsaicin and resiniferatoxin.</w:t>
      </w:r>
      <w:r>
        <w:t xml:space="preserve"> </w:t>
      </w:r>
      <w:r>
        <w:rPr>
          <w:i/>
          <w:iCs/>
        </w:rPr>
        <w:t xml:space="preserve">Proc Natl Acad Sci</w:t>
      </w:r>
      <w:r>
        <w:rPr>
          <w:i/>
          <w:iCs/>
        </w:rPr>
        <w:t xml:space="preserve"> </w:t>
      </w:r>
      <w:r>
        <w:rPr>
          <w:i/>
          <w:iCs/>
        </w:rPr>
        <w:t xml:space="preserve">U S A.</w:t>
      </w:r>
      <w:r>
        <w:t xml:space="preserve"> </w:t>
      </w:r>
      <w:r>
        <w:t xml:space="preserve">2016;113(2):E137–E145. doi:10.1073/pnas.1517288113</w:t>
      </w:r>
    </w:p>
    <w:p>
      <w:pPr>
        <w:pStyle w:val="Compact"/>
        <w:numPr>
          <w:ilvl w:val="0"/>
          <w:numId w:val="1001"/>
        </w:numPr>
      </w:pPr>
      <w:r>
        <w:t xml:space="preserve">Yang F, Xiao X, Cheng W, et al. Structural mechanism underlying</w:t>
      </w:r>
      <w:r>
        <w:t xml:space="preserve"> </w:t>
      </w:r>
      <w:r>
        <w:t xml:space="preserve">capsaicin binding and activation of the TRPV1 ion channel.</w:t>
      </w:r>
      <w:r>
        <w:t xml:space="preserve"> </w:t>
      </w:r>
      <w:r>
        <w:rPr>
          <w:i/>
          <w:iCs/>
        </w:rPr>
        <w:t xml:space="preserve">Nat Chem</w:t>
      </w:r>
      <w:r>
        <w:rPr>
          <w:i/>
          <w:iCs/>
        </w:rPr>
        <w:t xml:space="preserve"> </w:t>
      </w:r>
      <w:r>
        <w:rPr>
          <w:i/>
          <w:iCs/>
        </w:rPr>
        <w:t xml:space="preserve">Biol.</w:t>
      </w:r>
      <w:r>
        <w:t xml:space="preserve"> </w:t>
      </w:r>
      <w:r>
        <w:t xml:space="preserve">2015;11(7):518–524. doi:10.1038/nchembio.1835</w:t>
      </w:r>
    </w:p>
    <w:p>
      <w:pPr>
        <w:pStyle w:val="Compact"/>
        <w:numPr>
          <w:ilvl w:val="0"/>
          <w:numId w:val="1001"/>
        </w:numPr>
      </w:pPr>
      <w:r>
        <w:t xml:space="preserve">Berman HM, Westbrook J, Feng Z, et al. The Protein Data Bank.</w:t>
      </w:r>
      <w:r>
        <w:t xml:space="preserve"> </w:t>
      </w:r>
      <w:r>
        <w:rPr>
          <w:i/>
          <w:iCs/>
        </w:rPr>
        <w:t xml:space="preserve">Nucleic</w:t>
      </w:r>
      <w:r>
        <w:rPr>
          <w:i/>
          <w:iCs/>
        </w:rPr>
        <w:t xml:space="preserve"> </w:t>
      </w:r>
      <w:r>
        <w:rPr>
          <w:i/>
          <w:iCs/>
        </w:rPr>
        <w:t xml:space="preserve">Acids Res.</w:t>
      </w:r>
      <w:r>
        <w:t xml:space="preserve"> </w:t>
      </w:r>
      <w:r>
        <w:t xml:space="preserve">2000;28(1):235–242. doi:10.1093/nar/28.1.235</w:t>
      </w:r>
    </w:p>
    <w:p>
      <w:pPr>
        <w:pStyle w:val="Compact"/>
        <w:numPr>
          <w:ilvl w:val="0"/>
          <w:numId w:val="1001"/>
        </w:numPr>
      </w:pPr>
      <w:r>
        <w:t xml:space="preserve">UniProt Consortium. UniProt: the Universal Protein Knowledgebase in</w:t>
      </w:r>
    </w:p>
    <w:p>
      <w:pPr>
        <w:pStyle w:val="Compact"/>
        <w:numPr>
          <w:ilvl w:val="0"/>
          <w:numId w:val="1000"/>
        </w:numPr>
      </w:pPr>
      <w:r>
        <w:t xml:space="preserve">2025.</w:t>
      </w:r>
      <w:r>
        <w:t xml:space="preserve"> </w:t>
      </w:r>
      <w:r>
        <w:rPr>
          <w:i/>
          <w:iCs/>
        </w:rPr>
        <w:t xml:space="preserve">Nucleic Acids Res.</w:t>
      </w:r>
      <w:r>
        <w:t xml:space="preserve"> </w:t>
      </w:r>
      <w:r>
        <w:t xml:space="preserve">2025;53(D1):D609–D617.</w:t>
      </w:r>
      <w:r>
        <w:t xml:space="preserve"> </w:t>
      </w:r>
      <w:r>
        <w:t xml:space="preserve">doi:10.1093/nar/gkae1010</w:t>
      </w:r>
    </w:p>
    <w:p>
      <w:pPr>
        <w:pStyle w:val="Compact"/>
        <w:numPr>
          <w:ilvl w:val="0"/>
          <w:numId w:val="1001"/>
        </w:numPr>
      </w:pPr>
      <w:r>
        <w:t xml:space="preserve">Santos-Martins D, He Y, Eberhardt J, et al. Meeko: molecule</w:t>
      </w:r>
      <w:r>
        <w:t xml:space="preserve"> </w:t>
      </w:r>
      <w:r>
        <w:t xml:space="preserve">parametrization and software interoperability for docking and beyond.</w:t>
      </w:r>
      <w:r>
        <w:t xml:space="preserve"> </w:t>
      </w:r>
      <w:r>
        <w:rPr>
          <w:i/>
          <w:iCs/>
        </w:rPr>
        <w:t xml:space="preserve">J Chem Inf Model.</w:t>
      </w:r>
      <w:r>
        <w:t xml:space="preserve"> </w:t>
      </w:r>
      <w:r>
        <w:t xml:space="preserve">2025;65(24):13045–13050.</w:t>
      </w:r>
      <w:r>
        <w:t xml:space="preserve"> </w:t>
      </w:r>
      <w:r>
        <w:t xml:space="preserve">doi:10.1021/acs.jcim.5c02271</w:t>
      </w:r>
    </w:p>
    <w:p>
      <w:pPr>
        <w:pStyle w:val="Compact"/>
        <w:numPr>
          <w:ilvl w:val="0"/>
          <w:numId w:val="1001"/>
        </w:numPr>
      </w:pPr>
      <w:r>
        <w:t xml:space="preserve">Trott O, Olson AJ. AutoDock Vina: improving the speed and accuracy of</w:t>
      </w:r>
      <w:r>
        <w:t xml:space="preserve"> </w:t>
      </w:r>
      <w:r>
        <w:t xml:space="preserve">docking with a new scoring function, efficient optimization, and</w:t>
      </w:r>
      <w:r>
        <w:t xml:space="preserve"> </w:t>
      </w:r>
      <w:r>
        <w:t xml:space="preserve">multithreading.</w:t>
      </w:r>
      <w:r>
        <w:t xml:space="preserve"> </w:t>
      </w:r>
      <w:r>
        <w:rPr>
          <w:i/>
          <w:iCs/>
        </w:rPr>
        <w:t xml:space="preserve">J Comput Chem.</w:t>
      </w:r>
      <w:r>
        <w:t xml:space="preserve"> </w:t>
      </w:r>
      <w:r>
        <w:t xml:space="preserve">2010;31(2):455–461.</w:t>
      </w:r>
      <w:r>
        <w:t xml:space="preserve"> </w:t>
      </w:r>
      <w:r>
        <w:t xml:space="preserve">doi:10.1002/jcc.21334</w:t>
      </w:r>
    </w:p>
    <w:p>
      <w:pPr>
        <w:pStyle w:val="Compact"/>
        <w:numPr>
          <w:ilvl w:val="0"/>
          <w:numId w:val="1001"/>
        </w:numPr>
      </w:pPr>
      <w:r>
        <w:t xml:space="preserve">Zhang F, Hanson SM, Jara-Oseguera A, et al. Engineering</w:t>
      </w:r>
      <w:r>
        <w:t xml:space="preserve"> </w:t>
      </w:r>
      <w:r>
        <w:t xml:space="preserve">vanilloid-sensitivity into the rat TRPV2 channel.</w:t>
      </w:r>
      <w:r>
        <w:t xml:space="preserve"> </w:t>
      </w:r>
      <w:r>
        <w:rPr>
          <w:i/>
          <w:iCs/>
        </w:rPr>
        <w:t xml:space="preserve">eLife.</w:t>
      </w:r>
      <w:r>
        <w:t xml:space="preserve"> </w:t>
      </w:r>
      <w:r>
        <w:t xml:space="preserve">2016;5:e16409.</w:t>
      </w:r>
      <w:r>
        <w:t xml:space="preserve"> </w:t>
      </w:r>
      <w:r>
        <w:t xml:space="preserve">doi:10.7554/eLife.16409</w:t>
      </w:r>
    </w:p>
    <w:p>
      <w:pPr>
        <w:pStyle w:val="Compact"/>
        <w:numPr>
          <w:ilvl w:val="0"/>
          <w:numId w:val="1001"/>
        </w:numPr>
      </w:pPr>
      <w:r>
        <w:t xml:space="preserve">Goyal N, Skrdla P, Schroyer R, et al. Clinical pharmacokinetics,</w:t>
      </w:r>
      <w:r>
        <w:t xml:space="preserve"> </w:t>
      </w:r>
      <w:r>
        <w:t xml:space="preserve">safety, and tolerability of a novel, first-in-class TRPV4 ion channel</w:t>
      </w:r>
      <w:r>
        <w:t xml:space="preserve"> </w:t>
      </w:r>
      <w:r>
        <w:t xml:space="preserve">inhibitor, GSK2798745, in healthy and heart failure subjects.</w:t>
      </w:r>
      <w:r>
        <w:t xml:space="preserve"> </w:t>
      </w:r>
      <w:r>
        <w:rPr>
          <w:i/>
          <w:iCs/>
        </w:rPr>
        <w:t xml:space="preserve">Am J</w:t>
      </w:r>
      <w:r>
        <w:rPr>
          <w:i/>
          <w:iCs/>
        </w:rPr>
        <w:t xml:space="preserve"> </w:t>
      </w:r>
      <w:r>
        <w:rPr>
          <w:i/>
          <w:iCs/>
        </w:rPr>
        <w:t xml:space="preserve">Cardiovasc Drugs.</w:t>
      </w:r>
      <w:r>
        <w:t xml:space="preserve"> </w:t>
      </w:r>
      <w:r>
        <w:t xml:space="preserve">2019;19(3):335–342. doi:10.1007/s40256-018-00320-6</w:t>
      </w:r>
    </w:p>
    <w:p>
      <w:pPr>
        <w:pStyle w:val="Compact"/>
        <w:numPr>
          <w:ilvl w:val="0"/>
          <w:numId w:val="1001"/>
        </w:numPr>
      </w:pPr>
      <w:r>
        <w:t xml:space="preserve">Bianco SD, Peng JB, Takanaga H, et al. Marked disturbance of calcium</w:t>
      </w:r>
      <w:r>
        <w:t xml:space="preserve"> </w:t>
      </w:r>
      <w:r>
        <w:t xml:space="preserve">homeostasis in mice with targeted disruption of the</w:t>
      </w:r>
      <w:r>
        <w:t xml:space="preserve"> </w:t>
      </w:r>
      <w:r>
        <w:rPr>
          <w:i/>
          <w:iCs/>
        </w:rPr>
        <w:t xml:space="preserve">Trpv6</w:t>
      </w:r>
      <w:r>
        <w:t xml:space="preserve"> </w:t>
      </w:r>
      <w:r>
        <w:t xml:space="preserve">calcium</w:t>
      </w:r>
      <w:r>
        <w:t xml:space="preserve"> </w:t>
      </w:r>
      <w:r>
        <w:t xml:space="preserve">channel gene.</w:t>
      </w:r>
      <w:r>
        <w:t xml:space="preserve"> </w:t>
      </w:r>
      <w:r>
        <w:rPr>
          <w:i/>
          <w:iCs/>
        </w:rPr>
        <w:t xml:space="preserve">J Bone Miner Res.</w:t>
      </w:r>
      <w:r>
        <w:t xml:space="preserve"> </w:t>
      </w:r>
      <w:r>
        <w:t xml:space="preserve">2007;22(2):274–285.</w:t>
      </w:r>
      <w:r>
        <w:t xml:space="preserve"> </w:t>
      </w:r>
      <w:r>
        <w:t xml:space="preserve">doi:10.1359/jbmr.061110</w:t>
      </w:r>
    </w:p>
    <w:p>
      <w:pPr>
        <w:pStyle w:val="Compact"/>
        <w:numPr>
          <w:ilvl w:val="0"/>
          <w:numId w:val="1001"/>
        </w:numPr>
      </w:pPr>
      <w:r>
        <w:t xml:space="preserve">Iwata Y, Matsumura T. Blockade of TRPV2 is a novel therapy for</w:t>
      </w:r>
      <w:r>
        <w:t xml:space="preserve"> </w:t>
      </w:r>
      <w:r>
        <w:t xml:space="preserve">cardiomyopathy in muscular dystrophy.</w:t>
      </w:r>
      <w:r>
        <w:t xml:space="preserve"> </w:t>
      </w:r>
      <w:r>
        <w:rPr>
          <w:i/>
          <w:iCs/>
        </w:rPr>
        <w:t xml:space="preserve">Int J Mol Sci.</w:t>
      </w:r>
      <w:r>
        <w:t xml:space="preserve"> </w:t>
      </w:r>
      <w:r>
        <w:t xml:space="preserve">2019;20(16):3844. doi:10.3390/ijms20163844</w:t>
      </w:r>
    </w:p>
    <w:p>
      <w:pPr>
        <w:pStyle w:val="Compact"/>
        <w:numPr>
          <w:ilvl w:val="0"/>
          <w:numId w:val="1001"/>
        </w:numPr>
      </w:pPr>
      <w:r>
        <w:t xml:space="preserve">Iwata Y, Wakabayashi S, Ito S, Kitakaze M. Production of</w:t>
      </w:r>
      <w:r>
        <w:t xml:space="preserve"> </w:t>
      </w:r>
      <w:r>
        <w:t xml:space="preserve">TRPV2-targeting functional antibody ameliorating dilated</w:t>
      </w:r>
      <w:r>
        <w:t xml:space="preserve"> </w:t>
      </w:r>
      <w:r>
        <w:t xml:space="preserve">cardiomyopathy and muscular dystrophy in animal models.</w:t>
      </w:r>
      <w:r>
        <w:t xml:space="preserve"> </w:t>
      </w:r>
      <w:r>
        <w:rPr>
          <w:i/>
          <w:iCs/>
        </w:rPr>
        <w:t xml:space="preserve">Lab Invest.</w:t>
      </w:r>
      <w:r>
        <w:t xml:space="preserve"> </w:t>
      </w:r>
      <w:r>
        <w:t xml:space="preserve">2020;100(2):324–337. doi:10.1038/s41374-019-0363-1</w:t>
      </w:r>
    </w:p>
    <w:p>
      <w:pPr>
        <w:pStyle w:val="Compact"/>
        <w:numPr>
          <w:ilvl w:val="0"/>
          <w:numId w:val="1001"/>
        </w:numPr>
      </w:pPr>
      <w:r>
        <w:t xml:space="preserve">Lu A, Li K, Huang C, Yu B, Zhong W. Pathogenesis and management of</w:t>
      </w:r>
      <w:r>
        <w:t xml:space="preserve"> </w:t>
      </w:r>
      <w:r>
        <w:t xml:space="preserve">TRPV3-related Olmsted syndrome.</w:t>
      </w:r>
      <w:r>
        <w:t xml:space="preserve"> </w:t>
      </w:r>
      <w:r>
        <w:rPr>
          <w:i/>
          <w:iCs/>
        </w:rPr>
        <w:t xml:space="preserve">Front Genet.</w:t>
      </w:r>
      <w:r>
        <w:t xml:space="preserve"> </w:t>
      </w:r>
      <w:r>
        <w:t xml:space="preserve">2024;15:1459109.</w:t>
      </w:r>
      <w:r>
        <w:t xml:space="preserve"> </w:t>
      </w:r>
      <w:r>
        <w:t xml:space="preserve">doi:10.3389/fgene.2024.1459109</w:t>
      </w:r>
    </w:p>
    <w:p>
      <w:pPr>
        <w:pStyle w:val="Compact"/>
        <w:numPr>
          <w:ilvl w:val="0"/>
          <w:numId w:val="1001"/>
        </w:numPr>
      </w:pPr>
      <w:r>
        <w:t xml:space="preserve">Mellado Lagarde MM, Wilbraham D, Fonseca Martins R, et al. Clinical</w:t>
      </w:r>
      <w:r>
        <w:t xml:space="preserve"> </w:t>
      </w:r>
      <w:r>
        <w:t xml:space="preserve">proof-of-concept results with a novel TRPA1 antagonist (LY3526318) in</w:t>
      </w:r>
      <w:r>
        <w:t xml:space="preserve"> </w:t>
      </w:r>
      <w:r>
        <w:t xml:space="preserve">3 chronic pain states.</w:t>
      </w:r>
      <w:r>
        <w:t xml:space="preserve"> </w:t>
      </w:r>
      <w:r>
        <w:rPr>
          <w:i/>
          <w:iCs/>
        </w:rPr>
        <w:t xml:space="preserve">Pain.</w:t>
      </w:r>
      <w:r>
        <w:t xml:space="preserve"> </w:t>
      </w:r>
      <w:r>
        <w:t xml:space="preserve">2025;166(7):1497–1518.</w:t>
      </w:r>
      <w:r>
        <w:t xml:space="preserve"> </w:t>
      </w:r>
      <w:r>
        <w:t xml:space="preserve">doi:10.1097/j.pain.0000000000003487</w:t>
      </w:r>
    </w:p>
    <w:p>
      <w:pPr>
        <w:pStyle w:val="Compact"/>
        <w:numPr>
          <w:ilvl w:val="0"/>
          <w:numId w:val="1001"/>
        </w:numPr>
      </w:pPr>
      <w:r>
        <w:t xml:space="preserve">Bos JD, Meinardi MMHM. The 500 Dalton rule for the skin penetration of</w:t>
      </w:r>
      <w:r>
        <w:t xml:space="preserve"> </w:t>
      </w:r>
      <w:r>
        <w:t xml:space="preserve">chemical compounds and drugs.</w:t>
      </w:r>
      <w:r>
        <w:t xml:space="preserve"> </w:t>
      </w:r>
      <w:r>
        <w:rPr>
          <w:i/>
          <w:iCs/>
        </w:rPr>
        <w:t xml:space="preserve">Exp Dermatol.</w:t>
      </w:r>
      <w:r>
        <w:t xml:space="preserve"> </w:t>
      </w:r>
      <w:r>
        <w:t xml:space="preserve">2000;9(3):165–169.</w:t>
      </w:r>
      <w:r>
        <w:t xml:space="preserve"> </w:t>
      </w:r>
      <w:r>
        <w:t xml:space="preserve">doi:10.1034/j.1600-0625.2000.009003165.x</w:t>
      </w:r>
    </w:p>
    <w:p>
      <w:pPr>
        <w:pStyle w:val="Compact"/>
        <w:numPr>
          <w:ilvl w:val="0"/>
          <w:numId w:val="1001"/>
        </w:numPr>
      </w:pPr>
      <w:r>
        <w:t xml:space="preserve">QUTENZA (capsaicin) topical system, інструкція для медичного</w:t>
      </w:r>
      <w:r>
        <w:t xml:space="preserve"> </w:t>
      </w:r>
      <w:r>
        <w:t xml:space="preserve">застосування. U.S. Food and Drug Administration, NDA 022395. Оригінальне</w:t>
      </w:r>
      <w:r>
        <w:t xml:space="preserve"> </w:t>
      </w:r>
      <w:r>
        <w:t xml:space="preserve">схвалення 2009; цитована редакція 2023. Тимчасові, низькі (&lt;5 нг/мл)</w:t>
      </w:r>
      <w:r>
        <w:t xml:space="preserve"> </w:t>
      </w:r>
      <w:r>
        <w:t xml:space="preserve">рівні капсаїцину в плазмі виявлені приблизно в третини пацієнтів з</w:t>
      </w:r>
      <w:r>
        <w:t xml:space="preserve"> </w:t>
      </w:r>
      <w:r>
        <w:t xml:space="preserve">постгерпетичною невралгією після 60-хвилинного застосування, зникаючи</w:t>
      </w:r>
      <w:r>
        <w:t xml:space="preserve"> </w:t>
      </w:r>
      <w:r>
        <w:t xml:space="preserve">нижче межі кількісного визначення протягом 3–6 годин.</w:t>
      </w:r>
      <w:r>
        <w:t xml:space="preserve"> </w:t>
      </w:r>
      <w:r>
        <w:t xml:space="preserve">https://www.accessdata.fda.gov/drugsatfda_docs/label/2023/022395s023lbl.pdf</w:t>
      </w:r>
    </w:p>
    <w:p>
      <w:pPr>
        <w:pStyle w:val="Compact"/>
        <w:numPr>
          <w:ilvl w:val="0"/>
          <w:numId w:val="1001"/>
        </w:numPr>
      </w:pPr>
      <w:r>
        <w:t xml:space="preserve">Thoreau E, Arlabosse JM, Bouix-Peter C, et al. Structure-based design</w:t>
      </w:r>
      <w:r>
        <w:t xml:space="preserve"> </w:t>
      </w:r>
      <w:r>
        <w:t xml:space="preserve">of trifarotene (CD5789), a potent and selective RARγ agonist for the</w:t>
      </w:r>
      <w:r>
        <w:t xml:space="preserve"> </w:t>
      </w:r>
      <w:r>
        <w:t xml:space="preserve">treatment of acne.</w:t>
      </w:r>
      <w:r>
        <w:t xml:space="preserve"> </w:t>
      </w:r>
      <w:r>
        <w:rPr>
          <w:i/>
          <w:iCs/>
        </w:rPr>
        <w:t xml:space="preserve">Bioorg Med Chem Lett.</w:t>
      </w:r>
      <w:r>
        <w:t xml:space="preserve"> </w:t>
      </w:r>
      <w:r>
        <w:t xml:space="preserve">2018;28(10):1736–1741.</w:t>
      </w:r>
      <w:r>
        <w:t xml:space="preserve"> </w:t>
      </w:r>
      <w:r>
        <w:t xml:space="preserve">doi:10.1016/j.bmcl.2018.04.036</w:t>
      </w:r>
      <w:r>
        <w:t xml:space="preserve"> </w:t>
      </w:r>
      <w:r>
        <w:rPr>
          <w:i/>
          <w:iCs/>
        </w:rPr>
        <w:t xml:space="preserve">(первинна публікація для PDB 6FX0,</w:t>
      </w:r>
      <w:r>
        <w:rPr>
          <w:i/>
          <w:iCs/>
        </w:rPr>
        <w:t xml:space="preserve"> </w:t>
      </w:r>
      <w:r>
        <w:rPr>
          <w:i/>
          <w:iCs/>
        </w:rPr>
        <w:t xml:space="preserve">використаної безпосередньо в цій роботі)</w:t>
      </w:r>
    </w:p>
    <w:p>
      <w:pPr>
        <w:pStyle w:val="Compact"/>
        <w:numPr>
          <w:ilvl w:val="0"/>
          <w:numId w:val="1001"/>
        </w:numPr>
      </w:pPr>
      <w:r>
        <w:t xml:space="preserve">Chandraratna RAS. Tazarotene — first of a new generation of</w:t>
      </w:r>
      <w:r>
        <w:t xml:space="preserve"> </w:t>
      </w:r>
      <w:r>
        <w:t xml:space="preserve">receptor-selective retinoids.</w:t>
      </w:r>
      <w:r>
        <w:t xml:space="preserve"> </w:t>
      </w:r>
      <w:r>
        <w:rPr>
          <w:i/>
          <w:iCs/>
        </w:rPr>
        <w:t xml:space="preserve">Br J Dermatol.</w:t>
      </w:r>
      <w:r>
        <w:t xml:space="preserve"> </w:t>
      </w:r>
      <w:r>
        <w:t xml:space="preserve">1996;135(Suppl</w:t>
      </w:r>
      <w:r>
        <w:t xml:space="preserve"> </w:t>
      </w:r>
      <w:r>
        <w:t xml:space="preserve">49):18–25. doi:10.1111/j.1365-2133.1996.tb15662.x</w:t>
      </w:r>
    </w:p>
    <w:p>
      <w:pPr>
        <w:pStyle w:val="Compact"/>
        <w:numPr>
          <w:ilvl w:val="0"/>
          <w:numId w:val="1001"/>
        </w:numPr>
      </w:pPr>
      <w:r>
        <w:t xml:space="preserve">Esser CK, Bugianesi RL, Caldwell CG, et al. Inhibition of</w:t>
      </w:r>
      <w:r>
        <w:t xml:space="preserve"> </w:t>
      </w:r>
      <w:r>
        <w:t xml:space="preserve">stromelysin-1 (MMP-3) by P1′-biphenylylethyl carboxyalkyl dipeptides.</w:t>
      </w:r>
      <w:r>
        <w:t xml:space="preserve"> </w:t>
      </w:r>
      <w:r>
        <w:rPr>
          <w:i/>
          <w:iCs/>
        </w:rPr>
        <w:t xml:space="preserve">J Med Chem.</w:t>
      </w:r>
      <w:r>
        <w:t xml:space="preserve"> </w:t>
      </w:r>
      <w:r>
        <w:t xml:space="preserve">1997;40(6):1026–1040. doi:10.1021/jm960465t</w:t>
      </w:r>
      <w:r>
        <w:t xml:space="preserve"> </w:t>
      </w:r>
      <w:r>
        <w:rPr>
          <w:i/>
          <w:iCs/>
        </w:rPr>
        <w:t xml:space="preserve">(первинна</w:t>
      </w:r>
      <w:r>
        <w:rPr>
          <w:i/>
          <w:iCs/>
        </w:rPr>
        <w:t xml:space="preserve"> </w:t>
      </w:r>
      <w:r>
        <w:rPr>
          <w:i/>
          <w:iCs/>
        </w:rPr>
        <w:t xml:space="preserve">публікація для PDB 1HFS, використаної безпосередньо в цій роботі)</w:t>
      </w:r>
    </w:p>
    <w:p>
      <w:pPr>
        <w:pStyle w:val="Compact"/>
        <w:numPr>
          <w:ilvl w:val="0"/>
          <w:numId w:val="1001"/>
        </w:numPr>
      </w:pPr>
      <w:r>
        <w:t xml:space="preserve">Lopez KE, Paduda AS, Derrick MJ, Van Horn WD. TRPV1 antagonism occurs</w:t>
      </w:r>
      <w:r>
        <w:t xml:space="preserve"> </w:t>
      </w:r>
      <w:r>
        <w:t xml:space="preserve">through diverse structural mechanisms.</w:t>
      </w:r>
      <w:r>
        <w:t xml:space="preserve"> </w:t>
      </w:r>
      <w:r>
        <w:rPr>
          <w:i/>
          <w:iCs/>
        </w:rPr>
        <w:t xml:space="preserve">bioRxiv.</w:t>
      </w:r>
      <w:r>
        <w:t xml:space="preserve"> </w:t>
      </w:r>
      <w:r>
        <w:t xml:space="preserve">2026.</w:t>
      </w:r>
      <w:r>
        <w:t xml:space="preserve"> </w:t>
      </w:r>
      <w:r>
        <w:t xml:space="preserve">doi:10.64898/2026.04.27.721197</w:t>
      </w:r>
      <w:r>
        <w:t xml:space="preserve"> </w:t>
      </w:r>
      <w:r>
        <w:rPr>
          <w:i/>
          <w:iCs/>
        </w:rPr>
        <w:t xml:space="preserve">(первинна публікація для PDB 11CK,</w:t>
      </w:r>
      <w:r>
        <w:rPr>
          <w:i/>
          <w:iCs/>
        </w:rPr>
        <w:t xml:space="preserve"> </w:t>
      </w:r>
      <w:r>
        <w:rPr>
          <w:i/>
          <w:iCs/>
        </w:rPr>
        <w:t xml:space="preserve">використаної безпосередньо в цій роботі; це препринт — перевірити</w:t>
      </w:r>
      <w:r>
        <w:rPr>
          <w:i/>
          <w:iCs/>
        </w:rPr>
        <w:t xml:space="preserve"> </w:t>
      </w:r>
      <w:r>
        <w:rPr>
          <w:i/>
          <w:iCs/>
        </w:rPr>
        <w:t xml:space="preserve">статус рецензованої публікації перед поданням)</w:t>
      </w:r>
    </w:p>
    <w:p>
      <w:pPr>
        <w:pStyle w:val="Compact"/>
        <w:numPr>
          <w:ilvl w:val="0"/>
          <w:numId w:val="1001"/>
        </w:numPr>
      </w:pPr>
      <w:r>
        <w:t xml:space="preserve">Zdrazil B, Felix E, Hunter F, et al. The ChEMBL Database in 2023: a</w:t>
      </w:r>
      <w:r>
        <w:t xml:space="preserve"> </w:t>
      </w:r>
      <w:r>
        <w:t xml:space="preserve">drug discovery platform spanning multiple bioactivity data types and</w:t>
      </w:r>
      <w:r>
        <w:t xml:space="preserve"> </w:t>
      </w:r>
      <w:r>
        <w:t xml:space="preserve">time periods.</w:t>
      </w:r>
      <w:r>
        <w:t xml:space="preserve"> </w:t>
      </w:r>
      <w:r>
        <w:rPr>
          <w:i/>
          <w:iCs/>
        </w:rPr>
        <w:t xml:space="preserve">Nucleic Acids Res.</w:t>
      </w:r>
      <w:r>
        <w:t xml:space="preserve"> </w:t>
      </w:r>
      <w:r>
        <w:t xml:space="preserve">2024;52(D1):D1180–D1192.</w:t>
      </w:r>
      <w:r>
        <w:t xml:space="preserve"> </w:t>
      </w:r>
      <w:r>
        <w:t xml:space="preserve">doi:10.1093/nar/gkad1004</w:t>
      </w:r>
      <w:r>
        <w:t xml:space="preserve"> </w:t>
      </w:r>
      <w:r>
        <w:rPr>
          <w:i/>
          <w:iCs/>
        </w:rPr>
        <w:t xml:space="preserve">(джерело відомих активних/неактивних даних</w:t>
      </w:r>
      <w:r>
        <w:rPr>
          <w:i/>
          <w:iCs/>
        </w:rPr>
        <w:t xml:space="preserve"> </w:t>
      </w:r>
      <w:r>
        <w:rPr>
          <w:i/>
          <w:iCs/>
        </w:rPr>
        <w:t xml:space="preserve">біоактивності RARG/MMP3, використаних безпосередньо в цій роботі,</w:t>
      </w:r>
      <w:r>
        <w:rPr>
          <w:i/>
          <w:iCs/>
        </w:rPr>
        <w:t xml:space="preserve"> </w:t>
      </w:r>
      <w:r>
        <w:rPr>
          <w:i/>
          <w:iCs/>
        </w:rPr>
        <w:t xml:space="preserve">через REST API ChEMBL, мішені CHEMBL2003 і CHEMBL283)</w:t>
      </w:r>
    </w:p>
    <w:p>
      <w:pPr>
        <w:pStyle w:val="Compact"/>
        <w:numPr>
          <w:ilvl w:val="0"/>
          <w:numId w:val="1001"/>
        </w:numPr>
      </w:pPr>
      <w:r>
        <w:t xml:space="preserve">Santos-Martins D, Forli S, Ramos MJ, Olson AJ. AutoDock4(Zn): an</w:t>
      </w:r>
      <w:r>
        <w:t xml:space="preserve"> </w:t>
      </w:r>
      <w:r>
        <w:t xml:space="preserve">improved AutoDock force field for small-molecule docking to zinc</w:t>
      </w:r>
      <w:r>
        <w:t xml:space="preserve"> </w:t>
      </w:r>
      <w:r>
        <w:t xml:space="preserve">metalloproteins.</w:t>
      </w:r>
      <w:r>
        <w:t xml:space="preserve"> </w:t>
      </w:r>
      <w:r>
        <w:rPr>
          <w:i/>
          <w:iCs/>
        </w:rPr>
        <w:t xml:space="preserve">J Chem Inf Model.</w:t>
      </w:r>
      <w:r>
        <w:t xml:space="preserve"> </w:t>
      </w:r>
      <w:r>
        <w:t xml:space="preserve">2014;54(8):2371–2379.</w:t>
      </w:r>
      <w:r>
        <w:t xml:space="preserve"> </w:t>
      </w:r>
      <w:r>
        <w:t xml:space="preserve">doi:10.1021/ci500209e</w:t>
      </w:r>
      <w:r>
        <w:t xml:space="preserve"> </w:t>
      </w:r>
      <w:r>
        <w:rPr>
          <w:i/>
          <w:iCs/>
        </w:rPr>
        <w:t xml:space="preserve">(джерело силового поля координації цинку</w:t>
      </w:r>
      <w:r>
        <w:rPr>
          <w:i/>
          <w:iCs/>
        </w:rPr>
        <w:t xml:space="preserve"> </w:t>
      </w:r>
      <w:r>
        <w:rPr>
          <w:i/>
          <w:iCs/>
        </w:rPr>
        <w:t xml:space="preserve">AD4Zn, використаного безпосередньо в цій роботі для перевірки</w:t>
      </w:r>
      <w:r>
        <w:rPr>
          <w:i/>
          <w:iCs/>
        </w:rPr>
        <w:t xml:space="preserve"> </w:t>
      </w:r>
      <w:r>
        <w:rPr>
          <w:i/>
          <w:iCs/>
        </w:rPr>
        <w:t xml:space="preserve">дискримінації MMP3, п. 2.5/3.4)</w:t>
      </w:r>
    </w:p>
    <w:p>
      <w:pPr>
        <w:pStyle w:val="Compact"/>
        <w:numPr>
          <w:ilvl w:val="0"/>
          <w:numId w:val="1001"/>
        </w:numPr>
      </w:pPr>
      <w:r>
        <w:t xml:space="preserve">Cao E, Liao M, Cheng Y, Julius D. TRPV1 structures in distinct</w:t>
      </w:r>
      <w:r>
        <w:t xml:space="preserve"> </w:t>
      </w:r>
      <w:r>
        <w:t xml:space="preserve">conformations reveal activation mechanisms.</w:t>
      </w:r>
      <w:r>
        <w:t xml:space="preserve"> </w:t>
      </w:r>
      <w:r>
        <w:rPr>
          <w:i/>
          <w:iCs/>
        </w:rPr>
        <w:t xml:space="preserve">Nature.</w:t>
      </w:r>
      <w:r>
        <w:t xml:space="preserve"> </w:t>
      </w:r>
      <w:r>
        <w:t xml:space="preserve">2013;504(7478):113–118. doi:10.1038/nature12823</w:t>
      </w:r>
    </w:p>
    <w:p>
      <w:pPr>
        <w:pStyle w:val="Compact"/>
        <w:numPr>
          <w:ilvl w:val="0"/>
          <w:numId w:val="1001"/>
        </w:numPr>
      </w:pPr>
      <w:r>
        <w:t xml:space="preserve">Eberhardt J, Santos-Martins D, Tillack AF, Forli S. AutoDock Vina</w:t>
      </w:r>
      <w:r>
        <w:t xml:space="preserve"> </w:t>
      </w:r>
      <w:r>
        <w:t xml:space="preserve">1.2.0: new docking methods, expanded force field, and Python bindings.</w:t>
      </w:r>
      <w:r>
        <w:t xml:space="preserve"> </w:t>
      </w:r>
      <w:r>
        <w:rPr>
          <w:i/>
          <w:iCs/>
        </w:rPr>
        <w:t xml:space="preserve">J Chem Inf Model.</w:t>
      </w:r>
      <w:r>
        <w:t xml:space="preserve"> </w:t>
      </w:r>
      <w:r>
        <w:t xml:space="preserve">2021;61(8):3891–3898. doi:10.1021/acs.jcim.1c00203</w:t>
      </w:r>
    </w:p>
    <w:p>
      <w:pPr>
        <w:pStyle w:val="Compact"/>
        <w:numPr>
          <w:ilvl w:val="0"/>
          <w:numId w:val="1001"/>
        </w:numPr>
      </w:pPr>
      <w:r>
        <w:t xml:space="preserve">Potts RO, Guy RH. Predicting skin permeability.</w:t>
      </w:r>
      <w:r>
        <w:t xml:space="preserve"> </w:t>
      </w:r>
      <w:r>
        <w:rPr>
          <w:i/>
          <w:iCs/>
        </w:rPr>
        <w:t xml:space="preserve">Pharm Res.</w:t>
      </w:r>
      <w:r>
        <w:t xml:space="preserve"> </w:t>
      </w:r>
      <w:r>
        <w:t xml:space="preserve">1992;9(5):663–669. doi:10.1023/A:1015810312465</w:t>
      </w:r>
    </w:p>
    <w:p>
      <w:pPr>
        <w:pStyle w:val="Compact"/>
        <w:numPr>
          <w:ilvl w:val="0"/>
          <w:numId w:val="1001"/>
        </w:numPr>
      </w:pPr>
      <w:r>
        <w:t xml:space="preserve">Hoenderop JG, van Leeuwen JP, van der Eerden BC, et al. Renal Ca²⁺</w:t>
      </w:r>
      <w:r>
        <w:t xml:space="preserve"> </w:t>
      </w:r>
      <w:r>
        <w:t xml:space="preserve">wasting, hyperabsorption, and reduced bone thickness in mice lacking</w:t>
      </w:r>
      <w:r>
        <w:t xml:space="preserve"> </w:t>
      </w:r>
      <w:r>
        <w:t xml:space="preserve">TRPV5.</w:t>
      </w:r>
      <w:r>
        <w:t xml:space="preserve"> </w:t>
      </w:r>
      <w:r>
        <w:rPr>
          <w:i/>
          <w:iCs/>
        </w:rPr>
        <w:t xml:space="preserve">J Clin Invest.</w:t>
      </w:r>
      <w:r>
        <w:t xml:space="preserve"> </w:t>
      </w:r>
      <w:r>
        <w:t xml:space="preserve">2003;112(12):1906–1914. doi:10.1172/JCI19826</w:t>
      </w:r>
    </w:p>
    <w:p>
      <w:pPr>
        <w:pStyle w:val="Compact"/>
        <w:numPr>
          <w:ilvl w:val="0"/>
          <w:numId w:val="1001"/>
        </w:numPr>
      </w:pPr>
      <w:r>
        <w:t xml:space="preserve">Willette RN, Bao W, Nerurkar S, et al. Systemic activation of the</w:t>
      </w:r>
      <w:r>
        <w:t xml:space="preserve"> </w:t>
      </w:r>
      <w:r>
        <w:t xml:space="preserve">transient receptor potential vanilloid subtype 4 channel causes</w:t>
      </w:r>
      <w:r>
        <w:t xml:space="preserve"> </w:t>
      </w:r>
      <w:r>
        <w:t xml:space="preserve">endothelial failure and circulatory collapse.</w:t>
      </w:r>
      <w:r>
        <w:t xml:space="preserve"> </w:t>
      </w:r>
      <w:r>
        <w:rPr>
          <w:i/>
          <w:iCs/>
        </w:rPr>
        <w:t xml:space="preserve">J Pharmacol Exp Ther.</w:t>
      </w:r>
      <w:r>
        <w:t xml:space="preserve"> </w:t>
      </w:r>
      <w:r>
        <w:t xml:space="preserve">2008;326(2):443–452. doi:10.1124/jpet.107.134551</w:t>
      </w:r>
    </w:p>
    <w:p>
      <w:pPr>
        <w:pStyle w:val="Compact"/>
        <w:numPr>
          <w:ilvl w:val="0"/>
          <w:numId w:val="1001"/>
        </w:numPr>
      </w:pPr>
      <w:r>
        <w:t xml:space="preserve">Gavva NR, Treanor JJS, Garami A, et al. Pharmacological blockade of</w:t>
      </w:r>
      <w:r>
        <w:t xml:space="preserve"> </w:t>
      </w:r>
      <w:r>
        <w:t xml:space="preserve">the vanilloid receptor TRPV1 elicits marked hyperthermia in humans.</w:t>
      </w:r>
      <w:r>
        <w:t xml:space="preserve"> </w:t>
      </w:r>
      <w:r>
        <w:rPr>
          <w:i/>
          <w:iCs/>
        </w:rPr>
        <w:t xml:space="preserve">Pain.</w:t>
      </w:r>
      <w:r>
        <w:t xml:space="preserve"> </w:t>
      </w:r>
      <w:r>
        <w:t xml:space="preserve">2008;136(1-2):202–210. doi:10.1016/j.pain.2008.01.024</w:t>
      </w:r>
    </w:p>
    <w:p>
      <w:pPr>
        <w:pStyle w:val="Compact"/>
        <w:numPr>
          <w:ilvl w:val="0"/>
          <w:numId w:val="1001"/>
        </w:numPr>
      </w:pPr>
      <w:r>
        <w:t xml:space="preserve">Lazo JS, Boland CJ, Schwartz PE. Bleomycin hydrolase activity and</w:t>
      </w:r>
      <w:r>
        <w:t xml:space="preserve"> </w:t>
      </w:r>
      <w:r>
        <w:t xml:space="preserve">cytotoxicity in human tumors.</w:t>
      </w:r>
      <w:r>
        <w:t xml:space="preserve"> </w:t>
      </w:r>
      <w:r>
        <w:rPr>
          <w:i/>
          <w:iCs/>
        </w:rPr>
        <w:t xml:space="preserve">Cancer Res.</w:t>
      </w:r>
      <w:r>
        <w:t xml:space="preserve"> </w:t>
      </w:r>
      <w:r>
        <w:t xml:space="preserve">1982;42(10):4026–4031.</w:t>
      </w:r>
      <w:r>
        <w:t xml:space="preserve"> </w:t>
      </w:r>
      <w:r>
        <w:t xml:space="preserve">PMID: 6179595</w:t>
      </w:r>
    </w:p>
    <w:p>
      <w:pPr>
        <w:pStyle w:val="Compact"/>
        <w:numPr>
          <w:ilvl w:val="0"/>
          <w:numId w:val="1001"/>
        </w:numPr>
      </w:pPr>
      <w:r>
        <w:t xml:space="preserve">Ching D, Wood BA, Tiwari S, Chan J, Harvey NT. Histological features</w:t>
      </w:r>
      <w:r>
        <w:t xml:space="preserve"> </w:t>
      </w:r>
      <w:r>
        <w:t xml:space="preserve">of flagellate erythema.</w:t>
      </w:r>
      <w:r>
        <w:t xml:space="preserve"> </w:t>
      </w:r>
      <w:r>
        <w:rPr>
          <w:i/>
          <w:iCs/>
        </w:rPr>
        <w:t xml:space="preserve">Am J Dermatopathol.</w:t>
      </w:r>
      <w:r>
        <w:t xml:space="preserve"> </w:t>
      </w:r>
      <w:r>
        <w:t xml:space="preserve">2019;41(6):410–421.</w:t>
      </w:r>
      <w:r>
        <w:t xml:space="preserve"> </w:t>
      </w:r>
      <w:r>
        <w:t xml:space="preserve">doi:10.1097/DAD.0000000000001271</w:t>
      </w:r>
    </w:p>
    <w:p>
      <w:pPr>
        <w:pStyle w:val="Compact"/>
        <w:numPr>
          <w:ilvl w:val="0"/>
          <w:numId w:val="1001"/>
        </w:numPr>
      </w:pPr>
      <w:r>
        <w:t xml:space="preserve">Lin Z, Akin H, Rao R, et al. Evolutionary-scale prediction of</w:t>
      </w:r>
      <w:r>
        <w:t xml:space="preserve"> </w:t>
      </w:r>
      <w:r>
        <w:t xml:space="preserve">atomic-level protein structure with a language model.</w:t>
      </w:r>
      <w:r>
        <w:t xml:space="preserve"> </w:t>
      </w:r>
      <w:r>
        <w:rPr>
          <w:i/>
          <w:iCs/>
        </w:rPr>
        <w:t xml:space="preserve">Science.</w:t>
      </w:r>
      <w:r>
        <w:t xml:space="preserve"> </w:t>
      </w:r>
      <w:r>
        <w:t xml:space="preserve">2023;379(6637):1123–1130. doi:10.1126/science.ade2574</w:t>
      </w:r>
    </w:p>
    <w:p>
      <w:pPr>
        <w:pStyle w:val="Compact"/>
        <w:numPr>
          <w:ilvl w:val="0"/>
          <w:numId w:val="1001"/>
        </w:numPr>
      </w:pPr>
      <w:r>
        <w:t xml:space="preserve">Cock PJA, Antao T, Chang JT, et al. Biopython: freely available Python</w:t>
      </w:r>
      <w:r>
        <w:t xml:space="preserve"> </w:t>
      </w:r>
      <w:r>
        <w:t xml:space="preserve">tools for computational molecular biology and bioinformatics.</w:t>
      </w:r>
      <w:r>
        <w:t xml:space="preserve"> </w:t>
      </w:r>
      <w:r>
        <w:rPr>
          <w:i/>
          <w:iCs/>
        </w:rPr>
        <w:t xml:space="preserve">Bioinformatics.</w:t>
      </w:r>
      <w:r>
        <w:t xml:space="preserve"> </w:t>
      </w:r>
      <w:r>
        <w:t xml:space="preserve">2009;25(11):1422–1423.</w:t>
      </w:r>
      <w:r>
        <w:t xml:space="preserve"> </w:t>
      </w:r>
      <w:r>
        <w:t xml:space="preserve">doi:10.1093/bioinformatics/btp163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iPriority w:val="39"/>
    <w:qFormat/>
    <w:tblPr>
      <w:tblInd w:type="dxa" w:w="0"/>
      <w:tblBorders>
        <w:top w:color="999999" w:space="0" w:sz="4" w:val="single"/>
        <w:left w:color="999999" w:space="0" w:sz="4" w:val="single"/>
        <w:bottom w:color="999999" w:space="0" w:sz="4" w:val="single"/>
        <w:right w:color="999999" w:space="0" w:sz="4" w:val="single"/>
        <w:insideH w:color="999999" w:space="0" w:sz="4" w:val="single"/>
        <w:insideV w:color="999999" w:space="0" w:sz="4" w:val="single"/>
      </w:tblBorders>
      <w:tblCellMar>
        <w:top w:type="dxa" w:w="40"/>
        <w:left w:type="dxa" w:w="108"/>
        <w:bottom w:type="dxa" w:w="4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2026-10-08T10:57:52Z</dcterms:created>
  <dcterms:modified xsi:type="dcterms:W3CDTF">2026-10-08T10:57:52Z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