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0b86f4c1ec88b141310e1c53149d88e4880a35"/>
    <w:p>
      <w:pPr>
        <w:pStyle w:val="Heading1"/>
      </w:pPr>
      <w:r>
        <w:t xml:space="preserve">Off-target safety screen for a topical TRPV1 agonist — short summary</w:t>
      </w:r>
    </w:p>
    <w:p>
      <w:pPr>
        <w:pStyle w:val="FirstParagraph"/>
      </w:pPr>
      <w:r>
        <w:rPr>
          <w:i/>
          <w:iCs/>
        </w:rPr>
        <w:t xml:space="preserve">Companion summary to the full manuscript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OFFTARGET_SAFETY_ARTICLE_EN.md</w:t>
      </w:r>
      <w:r>
        <w:rPr>
          <w:i/>
          <w:iCs/>
        </w:rPr>
        <w:t xml:space="preserve">), prepared for co-author review.</w:t>
      </w:r>
      <w:r>
        <w:rPr>
          <w:i/>
          <w:iCs/>
        </w:rPr>
        <w:t xml:space="preserve"> </w:t>
      </w:r>
      <w:r>
        <w:rPr>
          <w:i/>
          <w:iCs/>
        </w:rPr>
        <w:t xml:space="preserve">Code and supporting materials: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https://github.com/danil25-stack/trpv1-offtarget-safety-screen</w:t>
      </w:r>
    </w:p>
    <w:bookmarkStart w:id="9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Off-target safety review for a small molecule normally stops at the</w:t>
      </w:r>
      <w:r>
        <w:t xml:space="preserve"> </w:t>
      </w:r>
      <w:r>
        <w:t xml:space="preserve">target’s sequence-paralog family. For a topical TRPV1 agonist that leaves</w:t>
      </w:r>
      <w:r>
        <w:t xml:space="preserve"> </w:t>
      </w:r>
      <w:r>
        <w:t xml:space="preserve">two gaps. Whole-protein sequence identity is a poor proxy for similarity at</w:t>
      </w:r>
      <w:r>
        <w:t xml:space="preserve"> </w:t>
      </w:r>
      <w:r>
        <w:t xml:space="preserve">the binding site that actually matters pharmacologically; and sequence</w:t>
      </w:r>
      <w:r>
        <w:t xml:space="preserve"> </w:t>
      </w:r>
      <w:r>
        <w:t xml:space="preserve">relatedness says nothing about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proteins that happen to combine</w:t>
      </w:r>
      <w:r>
        <w:t xml:space="preserve"> </w:t>
      </w:r>
      <w:r>
        <w:t xml:space="preserve">a geometrically similar pocket with co-expression at the drug’s local site</w:t>
      </w:r>
      <w:r>
        <w:t xml:space="preserve"> </w:t>
      </w:r>
      <w:r>
        <w:t xml:space="preserve">of action. This screen asks both questions computationally, cheaply enough</w:t>
      </w:r>
      <w:r>
        <w:t xml:space="preserve"> </w:t>
      </w:r>
      <w:r>
        <w:t xml:space="preserve">to run before a lead compound exists.</w:t>
      </w:r>
    </w:p>
    <w:bookmarkEnd w:id="9"/>
    <w:bookmarkStart w:id="10" w:name="what-was-done"/>
    <w:p>
      <w:pPr>
        <w:pStyle w:val="Heading2"/>
      </w:pPr>
      <w:r>
        <w:t xml:space="preserve">What was done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Paralog family (TRPV2–6, plus TRPA1).</w:t>
      </w:r>
      <w:r>
        <w:t xml:space="preserve"> </w:t>
      </w:r>
      <w:r>
        <w:t xml:space="preserve">Curated identity, liabilities</w:t>
      </w:r>
      <w:r>
        <w:t xml:space="preserve"> </w:t>
      </w:r>
      <w:r>
        <w:t xml:space="preserve">and tractability from Open Targets, with a literature review separating</w:t>
      </w:r>
      <w:r>
        <w:t xml:space="preserve"> </w:t>
      </w:r>
      <w:r>
        <w:t xml:space="preserve">whole-protein identity from binding-site-level conservation.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the family.</w:t>
      </w:r>
      <w:r>
        <w:t xml:space="preserve"> </w:t>
      </w:r>
      <w:r>
        <w:t xml:space="preserve">Human Protein Atlas skin-expression filter (604</w:t>
      </w:r>
      <w:r>
        <w:t xml:space="preserve"> </w:t>
      </w:r>
      <w:r>
        <w:t xml:space="preserve">candidate genes) → Open Targets druggability tiering (486 excluded as</w:t>
      </w:r>
      <w:r>
        <w:t xml:space="preserve"> </w:t>
      </w:r>
      <w:r>
        <w:t xml:space="preserve">structural/barrier proteins with no pharmacological pocket; 26 of the</w:t>
      </w:r>
      <w:r>
        <w:t xml:space="preserve"> </w:t>
      </w:r>
      <w:r>
        <w:t xml:space="preserve">remaining 118 had confirmed pocket evidence) → fpocket geometric pocket</w:t>
      </w:r>
      <w:r>
        <w:t xml:space="preserve"> </w:t>
      </w:r>
      <w:r>
        <w:t xml:space="preserve">detection and an eight-descriptor pocket-fingerprint comparison against</w:t>
      </w:r>
      <w:r>
        <w:t xml:space="preserve"> </w:t>
      </w:r>
      <w:r>
        <w:t xml:space="preserve">TRPV1’s vanilloid pocket. The fpocket rule was validated first on TRPV1</w:t>
      </w:r>
      <w:r>
        <w:t xml:space="preserve"> </w:t>
      </w:r>
      <w:r>
        <w:t xml:space="preserve">itself, where its own top-ranked cavity independently recovered all four</w:t>
      </w:r>
      <w:r>
        <w:t xml:space="preserve"> </w:t>
      </w:r>
      <w:r>
        <w:t xml:space="preserve">literature-established vanilloid-pocket residues (Y511, S512, T550,</w:t>
      </w:r>
      <w:r>
        <w:t xml:space="preserve"> </w:t>
      </w:r>
      <w:r>
        <w:t xml:space="preserve">E570).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Cross-docking.</w:t>
      </w:r>
      <w:r>
        <w:t xml:space="preserve"> </w:t>
      </w:r>
      <w:r>
        <w:t xml:space="preserve">The programme’s seven-ligand TRPV1 reference series</w:t>
      </w:r>
      <w:r>
        <w:t xml:space="preserve"> </w:t>
      </w:r>
      <w:r>
        <w:t xml:space="preserve">(resiniferatoxin → nonivamide, ~5 orders of magnitude in EC50) docked</w:t>
      </w:r>
      <w:r>
        <w:t xml:space="preserve"> </w:t>
      </w:r>
      <w:r>
        <w:t xml:space="preserve">with AutoDock Vina into the flagged off-targets, with per-target</w:t>
      </w:r>
      <w:r>
        <w:t xml:space="preserve"> </w:t>
      </w:r>
      <w:r>
        <w:t xml:space="preserve">redocking validation of the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Ground-truth discrimination check.</w:t>
      </w:r>
      <w:r>
        <w:t xml:space="preserve"> </w:t>
      </w:r>
      <w:r>
        <w:t xml:space="preserve">Property-matched panels of 30</w:t>
      </w:r>
      <w:r>
        <w:t xml:space="preserve"> </w:t>
      </w:r>
      <w:r>
        <w:t xml:space="preserve">known actives and 30 known inactives per off-target, pulled from ChEMBL</w:t>
      </w:r>
      <w:r>
        <w:t xml:space="preserve"> </w:t>
      </w:r>
      <w:r>
        <w:t xml:space="preserve">and docked into the same receptor and box, to ask whether the scoring</w:t>
      </w:r>
      <w:r>
        <w:t xml:space="preserve"> </w:t>
      </w:r>
      <w:r>
        <w:t xml:space="preserve">function can separate real binders from non-binders</w:t>
      </w:r>
      <w:r>
        <w:t xml:space="preserve"> </w:t>
      </w:r>
      <w:r>
        <w:rPr>
          <w:i/>
          <w:iCs/>
        </w:rPr>
        <w:t xml:space="preserve">at all</w:t>
      </w:r>
      <w:r>
        <w:t xml:space="preserve"> </w:t>
      </w:r>
      <w:r>
        <w:t xml:space="preserve">on that</w:t>
      </w:r>
      <w:r>
        <w:t xml:space="preserve"> </w:t>
      </w:r>
      <w:r>
        <w:t xml:space="preserve">pocket — a precondition for trusting any cross-receptor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ESM-2 pocket comparison.</w:t>
      </w:r>
      <w:r>
        <w:t xml:space="preserve"> </w:t>
      </w:r>
      <w:r>
        <w:t xml:space="preserve">Local protein-language-model</w:t>
      </w:r>
      <w:r>
        <w:t xml:space="preserve"> </w:t>
      </w:r>
      <w:r>
        <w:t xml:space="preserve">representations restricted to the four pocket-lining residues, mapped</w:t>
      </w:r>
      <w:r>
        <w:t xml:space="preserve"> </w:t>
      </w:r>
      <w:r>
        <w:t xml:space="preserve">across paralogs by alignment rather than by residue number, as a</w:t>
      </w:r>
      <w:r>
        <w:t xml:space="preserve"> </w:t>
      </w:r>
      <w:r>
        <w:t xml:space="preserve">quantitative test of the qualitative paralog claim.</w:t>
      </w:r>
    </w:p>
    <w:bookmarkEnd w:id="10"/>
    <w:bookmarkStart w:id="11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Within the family, identity-ranking misorders the real binding-site risk:</w:t>
      </w:r>
      <w:r>
        <w:t xml:space="preserve"> </w:t>
      </w:r>
      <w:r>
        <w:t xml:space="preserve">the vanilloid-pocket region is reported conserved across TRPV1–3 regardless</w:t>
      </w:r>
      <w:r>
        <w:t xml:space="preserve"> </w:t>
      </w:r>
      <w:r>
        <w:t xml:space="preserve">of overall identity (and is experimentally transplantable), so TRPV2/TRPV3</w:t>
      </w:r>
      <w:r>
        <w:t xml:space="preserve"> </w:t>
      </w:r>
      <w:r>
        <w:t xml:space="preserve">pocket risk may exceed what 45.0% and 39.0% identity suggest. TRPV6 carries</w:t>
      </w:r>
      <w:r>
        <w:t xml:space="preserve"> </w:t>
      </w:r>
      <w:r>
        <w:t xml:space="preserve">the most systemically consequential profile if hit (knockout: impaired</w:t>
      </w:r>
      <w:r>
        <w:t xml:space="preserve"> </w:t>
      </w:r>
      <w:r>
        <w:t xml:space="preserve">intestinal Ca²⁺ absorption, reduced bone mineral density,</w:t>
      </w:r>
      <w:r>
        <w:t xml:space="preserve"> </w:t>
      </w:r>
      <w:r>
        <w:t xml:space="preserve">alopecia/dermatitis, severe male infertility).</w:t>
      </w:r>
    </w:p>
    <w:p>
      <w:pPr>
        <w:pStyle w:val="BodyText"/>
      </w:pPr>
      <w:r>
        <w:t xml:space="preserve">Outside the family,</w:t>
      </w:r>
      <w:r>
        <w:t xml:space="preserve"> </w:t>
      </w:r>
      <w:r>
        <w:rPr>
          <w:b/>
          <w:bCs/>
        </w:rPr>
        <w:t xml:space="preserve">RARG — retinoic acid receptor gamma — is the finding.</w:t>
      </w:r>
      <w:r>
        <w:t xml:space="preserve"> </w:t>
      </w:r>
      <w:r>
        <w:t xml:space="preserve">It has no meaningful sequence identity or evolutionary relationship to</w:t>
      </w:r>
      <w:r>
        <w:t xml:space="preserve"> </w:t>
      </w:r>
      <w:r>
        <w:t xml:space="preserve">TRPV1, so a paralog-only review would never have considered it. Six of the</w:t>
      </w:r>
      <w:r>
        <w:t xml:space="preserve"> </w:t>
      </w:r>
      <w:r>
        <w:t xml:space="preserve">seven reference ligands dock into RARG’s retinoid pocket with scores</w:t>
      </w:r>
      <w:r>
        <w:t xml:space="preserve"> </w:t>
      </w:r>
      <w:r>
        <w:t xml:space="preserve">numerically comparable to, or slightly more favourable than, their scores</w:t>
      </w:r>
      <w:r>
        <w:t xml:space="preserve"> </w:t>
      </w:r>
      <w:r>
        <w:t xml:space="preserve">against TRPV1 itself; resiniferatoxin, the bulkiest ligand, is the</w:t>
      </w:r>
      <w:r>
        <w:t xml:space="preserve"> </w:t>
      </w:r>
      <w:r>
        <w:t xml:space="preserve">consistent outlier.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n (active/inactive)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vs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RARG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0.686–0.914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0.351–0.654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AD4Zn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0.394–0.694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</w:tr>
    </w:tbl>
    <w:p>
      <w:pPr>
        <w:pStyle w:val="BodyText"/>
      </w:pPr>
      <w:r>
        <w:t xml:space="preserve">The discrimination check is what separates the two candidates. RARG passes</w:t>
      </w:r>
      <w:r>
        <w:t xml:space="preserve"> </w:t>
      </w:r>
      <w:r>
        <w:t xml:space="preserve">it convincingly, on a compound set and a question entirely unrelated to the</w:t>
      </w:r>
      <w:r>
        <w:t xml:space="preserve"> </w:t>
      </w:r>
      <w:r>
        <w:t xml:space="preserve">TRPV1 series — so the RARG cross-docking signal reflects the scoring</w:t>
      </w:r>
      <w:r>
        <w:t xml:space="preserve"> </w:t>
      </w:r>
      <w:r>
        <w:t xml:space="preserve">function genuinely working on that pocket. MMP3 fails it outright, and</w:t>
      </w:r>
      <w:r>
        <w:t xml:space="preserve"> </w:t>
      </w:r>
      <w:r>
        <w:t xml:space="preserve">stays near chance even under AD4Zn, a force field built specifically for</w:t>
      </w:r>
      <w:r>
        <w:t xml:space="preserve"> </w:t>
      </w:r>
      <w:r>
        <w:t xml:space="preserve">zinc coordination. That rules out</w:t>
      </w:r>
      <w:r>
        <w:t xml:space="preserve"> </w:t>
      </w:r>
      <w:r>
        <w:t xml:space="preserve">“the catalytic zinc is being scored as an</w:t>
      </w:r>
      <w:r>
        <w:t xml:space="preserve"> </w:t>
      </w:r>
      <w:r>
        <w:t xml:space="preserve">inert rigid body”</w:t>
      </w:r>
      <w:r>
        <w:t xml:space="preserve"> </w:t>
      </w:r>
      <w:r>
        <w:t xml:space="preserve">as the sole explanation and means the MMP3 cross-docking</w:t>
      </w:r>
      <w:r>
        <w:t xml:space="preserve"> </w:t>
      </w:r>
      <w:r>
        <w:t xml:space="preserve">numbers cannot be read as evidence in either direction.</w:t>
      </w:r>
    </w:p>
    <w:p>
      <w:pPr>
        <w:pStyle w:val="BodyText"/>
      </w:pPr>
      <w:r>
        <w:t xml:space="preserve">RARG’s clinical relevance is anchored rather than hypothetical: the</w:t>
      </w:r>
      <w:r>
        <w:t xml:space="preserve"> </w:t>
      </w:r>
      <w:r>
        <w:t xml:space="preserve">structure used for the comparison (PDB 6FX0) comes from the medicinal</w:t>
      </w:r>
      <w:r>
        <w:t xml:space="preserve"> </w:t>
      </w:r>
      <w:r>
        <w:t xml:space="preserve">chemistry programme that produced trifarotene, an approved RARγ-selective</w:t>
      </w:r>
      <w:r>
        <w:t xml:space="preserve"> </w:t>
      </w:r>
      <w:r>
        <w:t xml:space="preserve">topical retinoid, and tazarotene is an older topical precedent. So</w:t>
      </w:r>
      <w:r>
        <w:t xml:space="preserve"> </w:t>
      </w:r>
      <w:r>
        <w:t xml:space="preserve">small-molecule occupancy of this pocket in this anatomical site is the</w:t>
      </w:r>
      <w:r>
        <w:t xml:space="preserve"> </w:t>
      </w:r>
      <w:r>
        <w:t xml:space="preserve">mechanism of at least one approved topical drug. The signal also spans most</w:t>
      </w:r>
      <w:r>
        <w:t xml:space="preserve"> </w:t>
      </w:r>
      <w:r>
        <w:t xml:space="preserve">of the series rather than concentrating in the smallest ligands, so the</w:t>
      </w:r>
      <w:r>
        <w:t xml:space="preserve"> </w:t>
      </w:r>
      <w:r>
        <w:t xml:space="preserve">MW/logP window favoured for topical delivery (200–450 Da, logP 1.0–4.0)</w:t>
      </w:r>
      <w:r>
        <w:t xml:space="preserve"> </w:t>
      </w:r>
      <w:r>
        <w:t xml:space="preserve">would not filter this risk out.</w:t>
      </w:r>
    </w:p>
    <w:bookmarkEnd w:id="11"/>
    <w:bookmarkStart w:id="12" w:name="what-changed-since-the-august-draft"/>
    <w:p>
      <w:pPr>
        <w:pStyle w:val="Heading2"/>
      </w:pPr>
      <w:r>
        <w:t xml:space="preserve">What changed since the August draft</w:t>
      </w:r>
    </w:p>
    <w:p>
      <w:pPr>
        <w:pStyle w:val="Compact"/>
        <w:numPr>
          <w:ilvl w:val="0"/>
          <w:numId w:val="1002"/>
        </w:numPr>
      </w:pPr>
      <w:r>
        <w:t xml:space="preserve">The ground-truth discrimination check and the AD4Zn re-run are new, and</w:t>
      </w:r>
      <w: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downgrade MMP3</w:t>
      </w:r>
      <w:r>
        <w:t xml:space="preserve"> </w:t>
      </w:r>
      <w:r>
        <w:t xml:space="preserve">from a co-priority target to a methodologically</w:t>
      </w:r>
      <w:r>
        <w:t xml:space="preserve"> </w:t>
      </w:r>
      <w:r>
        <w:t xml:space="preserve">unresolved watch item.</w:t>
      </w:r>
    </w:p>
    <w:p>
      <w:pPr>
        <w:pStyle w:val="Compact"/>
        <w:numPr>
          <w:ilvl w:val="0"/>
          <w:numId w:val="1002"/>
        </w:numPr>
      </w:pPr>
      <w:r>
        <w:t xml:space="preserve">The MMP3 receptor was corrected to a holo structure (PDB 1HFS) retaining</w:t>
      </w:r>
      <w:r>
        <w:t xml:space="preserve"> </w:t>
      </w:r>
      <w:r>
        <w:t xml:space="preserve">all resolved Zn²⁺ and Ca²⁺ ions; the earlier apo run understated the</w:t>
      </w:r>
      <w:r>
        <w:t xml:space="preserve"> </w:t>
      </w:r>
      <w:r>
        <w:t xml:space="preserve">MMP3 signal.</w:t>
      </w:r>
    </w:p>
    <w:p>
      <w:pPr>
        <w:pStyle w:val="Compact"/>
        <w:numPr>
          <w:ilvl w:val="0"/>
          <w:numId w:val="1002"/>
        </w:numPr>
      </w:pPr>
      <w:r>
        <w:t xml:space="preserve">The ESM-2 comparison was added. It supports the TRPV5/TRPV6 part of the</w:t>
      </w:r>
      <w:r>
        <w:t xml:space="preserve"> </w:t>
      </w:r>
      <w:r>
        <w:t xml:space="preserve">paralog claim (0.93–0.94 versus 0.965–0.969 for TRPV2–4)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TRPV4-specific part, and is presented with that limitation stated.</w:t>
      </w:r>
    </w:p>
    <w:p>
      <w:pPr>
        <w:pStyle w:val="Compact"/>
        <w:numPr>
          <w:ilvl w:val="0"/>
          <w:numId w:val="1002"/>
        </w:numPr>
      </w:pPr>
      <w:r>
        <w:t xml:space="preserve">All references were verified against Crossref/PubMed; three were wrong</w:t>
      </w:r>
      <w:r>
        <w:t xml:space="preserve"> </w:t>
      </w:r>
      <w:r>
        <w:t xml:space="preserve">(notably the TRPV4/GSK2798745 paper, which is Goyal et al.,</w:t>
      </w:r>
      <w:r>
        <w:t xml:space="preserve"> </w:t>
      </w:r>
      <w:r>
        <w:rPr>
          <w:i/>
          <w:iCs/>
        </w:rPr>
        <w:t xml:space="preserve">Am J</w:t>
      </w:r>
      <w:r>
        <w:rPr>
          <w:i/>
          <w:iCs/>
        </w:rPr>
        <w:t xml:space="preserve"> </w:t>
      </w:r>
      <w:r>
        <w:rPr>
          <w:i/>
          <w:iCs/>
        </w:rPr>
        <w:t xml:space="preserve">Cardiovasc Drugs</w:t>
      </w:r>
      <w:r>
        <w:t xml:space="preserve"> </w:t>
      </w:r>
      <w:r>
        <w:t xml:space="preserve">2019;19(3):335–342, not Goldsmith in</w:t>
      </w:r>
      <w:r>
        <w:t xml:space="preserve"> </w:t>
      </w:r>
      <w:r>
        <w:rPr>
          <w:i/>
          <w:iCs/>
        </w:rPr>
        <w:t xml:space="preserve">Clin</w:t>
      </w:r>
      <w:r>
        <w:rPr>
          <w:i/>
          <w:iCs/>
        </w:rPr>
        <w:t xml:space="preserve"> </w:t>
      </w:r>
      <w:r>
        <w:rPr>
          <w:i/>
          <w:iCs/>
        </w:rPr>
        <w:t xml:space="preserve">Pharmacokinetics</w:t>
      </w:r>
      <w:r>
        <w:t xml:space="preserve">), eleven placeholders were filled, and two statements</w:t>
      </w:r>
      <w:r>
        <w:t xml:space="preserve"> </w:t>
      </w:r>
      <w:r>
        <w:t xml:space="preserve">that overstated their sources were corrected — the TRPA1 entry (one</w:t>
      </w:r>
      <w:r>
        <w:t xml:space="preserve"> </w:t>
      </w:r>
      <w:r>
        <w:t xml:space="preserve">programme with a hepatotoxicity signal, not two with acceptable safety)</w:t>
      </w:r>
      <w:r>
        <w:t xml:space="preserve"> </w:t>
      </w:r>
      <w:r>
        <w:t xml:space="preserve">and the BLMH/flagellate-dermatitis link (a hypothesis, not an established</w:t>
      </w:r>
      <w:r>
        <w:t xml:space="preserve"> </w:t>
      </w:r>
      <w:r>
        <w:t xml:space="preserve">mechanism).</w:t>
      </w:r>
    </w:p>
    <w:bookmarkEnd w:id="12"/>
    <w:bookmarkStart w:id="13" w:name="where-a-second-opinion-would-help-most"/>
    <w:p>
      <w:pPr>
        <w:pStyle w:val="Heading2"/>
      </w:pPr>
      <w:r>
        <w:t xml:space="preserve">Where a second opinion would help most</w:t>
      </w:r>
    </w:p>
    <w:p>
      <w:pPr>
        <w:pStyle w:val="Compact"/>
        <w:numPr>
          <w:ilvl w:val="0"/>
          <w:numId w:val="1003"/>
        </w:numPr>
      </w:pPr>
      <w:r>
        <w:t xml:space="preserve">Is the recommendation pitched correctly — RARG as a counter-screen worth</w:t>
      </w:r>
      <w:r>
        <w:t xml:space="preserve"> </w:t>
      </w:r>
      <w:r>
        <w:t xml:space="preserve">running early, rather than as a demonstrated liability?</w:t>
      </w:r>
    </w:p>
    <w:p>
      <w:pPr>
        <w:pStyle w:val="Compact"/>
        <w:numPr>
          <w:ilvl w:val="0"/>
          <w:numId w:val="1003"/>
        </w:numPr>
      </w:pPr>
      <w:r>
        <w:t xml:space="preserve">Is reporting MMP3 as an unresolved watch item the right call, or should</w:t>
      </w:r>
      <w:r>
        <w:t xml:space="preserve"> </w:t>
      </w:r>
      <w:r>
        <w:t xml:space="preserve">it be dropped from the manuscript altogether?</w:t>
      </w:r>
    </w:p>
    <w:p>
      <w:pPr>
        <w:pStyle w:val="Compact"/>
        <w:numPr>
          <w:ilvl w:val="0"/>
          <w:numId w:val="1003"/>
        </w:numPr>
      </w:pPr>
      <w:r>
        <w:t xml:space="preserve">Journal fit for a hypothesis-generating computational triage paper of</w:t>
      </w:r>
      <w:r>
        <w:t xml:space="preserve"> </w:t>
      </w:r>
      <w:r>
        <w:t xml:space="preserve">this size.</w:t>
      </w:r>
    </w:p>
    <w:bookmarkEnd w:id="13"/>
    <w:bookmarkStart w:id="14" w:name="limitations-in-brief"/>
    <w:p>
      <w:pPr>
        <w:pStyle w:val="Heading2"/>
      </w:pPr>
      <w:r>
        <w:t xml:space="preserve">Limitations in brief</w:t>
      </w:r>
    </w:p>
    <w:p>
      <w:pPr>
        <w:pStyle w:val="FirstParagraph"/>
      </w:pPr>
      <w:r>
        <w:t xml:space="preserve">This is a hypothesis-generating computational screen, not a confirmatory</w:t>
      </w:r>
      <w:r>
        <w:t xml:space="preserve"> </w:t>
      </w:r>
      <w:r>
        <w:t xml:space="preserve">safety study: no experimental cross-reactivity data were generated.</w:t>
      </w:r>
      <w:r>
        <w:t xml:space="preserve"> </w:t>
      </w:r>
      <w:r>
        <w:t xml:space="preserve">Cross-receptor Vina score comparison is inherently less reliable than</w:t>
      </w:r>
      <w:r>
        <w:t xml:space="preserve"> </w:t>
      </w:r>
      <w:r>
        <w:t xml:space="preserve">single-target ranking; both receptor structures are single static</w:t>
      </w:r>
      <w:r>
        <w:t xml:space="preserve"> </w:t>
      </w:r>
      <w:r>
        <w:t xml:space="preserve">snapshots; the eight-descriptor fingerprint is a coarse proxy for true</w:t>
      </w:r>
      <w:r>
        <w:t xml:space="preserve"> </w:t>
      </w:r>
      <w:r>
        <w:t xml:space="preserve">pocket shape and electrostatics; bulk tissue RNA expression does not</w:t>
      </w:r>
      <w:r>
        <w:t xml:space="preserve"> </w:t>
      </w:r>
      <w:r>
        <w:t xml:space="preserve">resolve dorsal-root-ganglion or nerve-terminal expression specifically; and</w:t>
      </w:r>
      <w:r>
        <w:t xml:space="preserve"> </w:t>
      </w:r>
      <w:r>
        <w:t xml:space="preserve">only the highest-confidence tier (26 of 118 genes) was screened, leaving</w:t>
      </w:r>
      <w:r>
        <w:t xml:space="preserve"> </w:t>
      </w:r>
      <w:r>
        <w:t xml:space="preserve">several plausible pain/inflammation-relevant candidates (PTGS1, LTB4R/</w:t>
      </w:r>
      <w:r>
        <w:t xml:space="preserve"> </w:t>
      </w:r>
      <w:r>
        <w:t xml:space="preserve">LTB4R2, HCAR2/HCAR3) unevaluated.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39"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2026-10-08T11:55:00Z</dcterms:created>
  <dcterms:modified xsi:type="dcterms:W3CDTF">2026-10-08T11:55:00Z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