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i/>
          <w:iCs/>
        </w:rPr>
        <w:t xml:space="preserve">[Manuscript draft — journal format. Author name(s), affiliation(s), funding,</w:t>
      </w:r>
      <w:r>
        <w:rPr>
          <w:i/>
          <w:iCs/>
        </w:rPr>
        <w:t xml:space="preserve"> </w:t>
      </w:r>
      <w:r>
        <w:rPr>
          <w:i/>
          <w:iCs/>
        </w:rPr>
        <w:t xml:space="preserve">and conflict-of-interest statements are left as placeholders below for you to</w:t>
      </w:r>
      <w:r>
        <w:rPr>
          <w:i/>
          <w:iCs/>
        </w:rPr>
        <w:t xml:space="preserve"> </w:t>
      </w:r>
      <w:r>
        <w:rPr>
          <w:i/>
          <w:iCs/>
        </w:rPr>
        <w:t xml:space="preserve">complete. Every reference has been checked against Crossref/PubMed for title,</w:t>
      </w:r>
      <w:r>
        <w:rPr>
          <w:i/>
          <w:iCs/>
        </w:rPr>
        <w:t xml:space="preserve"> </w:t>
      </w:r>
      <w:r>
        <w:rPr>
          <w:i/>
          <w:iCs/>
        </w:rPr>
        <w:t xml:space="preserve">journal, year, volume, pages, and author list (as of 8 October 2026); the only</w:t>
      </w:r>
      <w:r>
        <w:rPr>
          <w:i/>
          <w:iCs/>
        </w:rPr>
        <w:t xml:space="preserve"> </w:t>
      </w:r>
      <w:r>
        <w:rPr>
          <w:i/>
          <w:iCs/>
        </w:rPr>
        <w:t xml:space="preserve">entry still needing a re-check before submission is ref. 22 (a bioRxiv</w:t>
      </w:r>
      <w:r>
        <w:rPr>
          <w:i/>
          <w:iCs/>
        </w:rPr>
        <w:t xml:space="preserve"> </w:t>
      </w:r>
      <w:r>
        <w:rPr>
          <w:i/>
          <w:iCs/>
        </w:rPr>
        <w:t xml:space="preserve">preprint — verify peer-reviewed publication status).]</w:t>
      </w:r>
    </w:p>
    <w:bookmarkStart w:id="31" w:name="X49b3636c4f696a189b86c8cffbd156d625876ff"/>
    <w:p>
      <w:pPr>
        <w:pStyle w:val="Heading1"/>
      </w:pPr>
      <w:r>
        <w:t xml:space="preserve">In silico screening for potential off-target interactions of topical TRPV1 agonists: from paralog analysis to structure-based pocket comparison and cross-docking</w:t>
      </w:r>
    </w:p>
    <w:p>
      <w:pPr>
        <w:pStyle w:val="FirstParagraph"/>
      </w:pPr>
      <w:r>
        <w:rPr>
          <w:b/>
          <w:bCs/>
        </w:rPr>
        <w:t xml:space="preserve">[Author Name(s)]</w:t>
      </w:r>
      <w:r>
        <w:t xml:space="preserve">¹</w:t>
      </w:r>
    </w:p>
    <w:p>
      <w:pPr>
        <w:pStyle w:val="BodyText"/>
      </w:pPr>
      <w:r>
        <w:t xml:space="preserve">¹</w:t>
      </w:r>
      <w:r>
        <w:t xml:space="preserve"> </w:t>
      </w:r>
      <w:r>
        <w:rPr>
          <w:i/>
          <w:iCs/>
        </w:rPr>
        <w:t xml:space="preserve">[Affiliation, Department, Institution, City, Country]</w:t>
      </w:r>
    </w:p>
    <w:p>
      <w:pPr>
        <w:pStyle w:val="BodyText"/>
      </w:pPr>
      <w:r>
        <w:t xml:space="preserve">Corresponding author:</w:t>
      </w:r>
      <w:r>
        <w:t xml:space="preserve"> </w:t>
      </w:r>
      <w:r>
        <w:rPr>
          <w:i/>
          <w:iCs/>
        </w:rPr>
        <w:t xml:space="preserve">[email]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Background.</w:t>
      </w:r>
      <w:r>
        <w:t xml:space="preserve"> </w:t>
      </w:r>
      <w:r>
        <w:t xml:space="preserve">Topical TRPV1 agonists are an established, clinically</w:t>
      </w:r>
      <w:r>
        <w:t xml:space="preserve"> </w:t>
      </w:r>
      <w:r>
        <w:t xml:space="preserve">validated analgesic mechanism (e.g., capsaicin 8% patch), but off-target</w:t>
      </w:r>
      <w:r>
        <w:t xml:space="preserve"> </w:t>
      </w:r>
      <w:r>
        <w:t xml:space="preserve">safety assessment for new candidates in this class is typically limited to</w:t>
      </w:r>
      <w:r>
        <w:t xml:space="preserve"> </w:t>
      </w:r>
      <w:r>
        <w:t xml:space="preserve">the TRPV1 sequence-paralog family (TRPV2–6) and addressed late, via</w:t>
      </w:r>
      <w:r>
        <w:t xml:space="preserve"> </w:t>
      </w:r>
      <w:r>
        <w:t xml:space="preserve">empirical in vitro panels.</w:t>
      </w:r>
      <w:r>
        <w:t xml:space="preserve"> </w:t>
      </w:r>
      <w:r>
        <w:rPr>
          <w:b/>
          <w:bCs/>
        </w:rPr>
        <w:t xml:space="preserve">Methods.</w:t>
      </w:r>
      <w:r>
        <w:t xml:space="preserve"> </w:t>
      </w:r>
      <w:r>
        <w:t xml:space="preserve">We combined a curated</w:t>
      </w:r>
      <w:r>
        <w:t xml:space="preserve"> </w:t>
      </w:r>
      <w:r>
        <w:t xml:space="preserve">paralog-family literature review — extended by a quantitative comparison of</w:t>
      </w:r>
      <w:r>
        <w:t xml:space="preserve"> </w:t>
      </w:r>
      <w:r>
        <w:t xml:space="preserve">local pocket-residue representations from the ESM-2 protein language model —</w:t>
      </w:r>
      <w:r>
        <w:t xml:space="preserve"> </w:t>
      </w:r>
      <w:r>
        <w:t xml:space="preserve">with a structure-based computational screen: a tissue-expression filter (Human Protein Atlas) to identify</w:t>
      </w:r>
      <w:r>
        <w:t xml:space="preserve"> </w:t>
      </w:r>
      <w:r>
        <w:t xml:space="preserve">druggable, skin-enriched proteins unrelated to TRPV1 by sequence; cavity</w:t>
      </w:r>
      <w:r>
        <w:t xml:space="preserve"> </w:t>
      </w:r>
      <w:r>
        <w:t xml:space="preserve">detection (fpocket) to compare candidate binding-pocket geometry and</w:t>
      </w:r>
      <w:r>
        <w:t xml:space="preserve"> </w:t>
      </w:r>
      <w:r>
        <w:t xml:space="preserve">physicochemistry against TRPV1’s vanilloid pocket without docking; and</w:t>
      </w:r>
      <w:r>
        <w:t xml:space="preserve"> </w:t>
      </w:r>
      <w:r>
        <w:t xml:space="preserve">molecular docking (AutoDock Vina) of seven TRPV1 reference agonists into</w:t>
      </w:r>
      <w:r>
        <w:t xml:space="preserve"> </w:t>
      </w:r>
      <w:r>
        <w:t xml:space="preserve">two candidates carried forward from the pocket screen — MMP3, which led</w:t>
      </w:r>
      <w:r>
        <w:t xml:space="preserve"> </w:t>
      </w:r>
      <w:r>
        <w:t xml:space="preserve">both pocket-similarity rankings, and RARG, promoted on independent</w:t>
      </w:r>
      <w:r>
        <w:t xml:space="preserve"> </w:t>
      </w:r>
      <w:r>
        <w:t xml:space="preserve">biological and druggability grounds despite not leading either ranking by</w:t>
      </w:r>
      <w:r>
        <w:t xml:space="preserve"> </w:t>
      </w:r>
      <w:r>
        <w:t xml:space="preserve">distance — to test whether pocket similarity translates into comparable</w:t>
      </w:r>
      <w:r>
        <w:t xml:space="preserve"> </w:t>
      </w:r>
      <w:r>
        <w:t xml:space="preserve">predicted binding.</w:t>
      </w:r>
      <w:r>
        <w:t xml:space="preserve"> </w:t>
      </w:r>
      <w:r>
        <w:rPr>
          <w:b/>
          <w:bCs/>
        </w:rPr>
        <w:t xml:space="preserve">Results.</w:t>
      </w:r>
      <w:r>
        <w:t xml:space="preserve"> </w:t>
      </w:r>
      <w:r>
        <w:t xml:space="preserve">Within the TRPV</w:t>
      </w:r>
      <w:r>
        <w:t xml:space="preserve"> </w:t>
      </w:r>
      <w:r>
        <w:t xml:space="preserve">family, whole-protein sequence identity poorly predicts binding-site risk:</w:t>
      </w:r>
      <w:r>
        <w:t xml:space="preserve"> </w:t>
      </w:r>
      <w:r>
        <w:t xml:space="preserve">literature indicates the vanilloid-pocket region is structurally conserved</w:t>
      </w:r>
      <w:r>
        <w:t xml:space="preserve"> </w:t>
      </w:r>
      <w:r>
        <w:t xml:space="preserve">across TRPV1–3 independent of overall identity, while TRPV4’s selectivity</w:t>
      </w:r>
      <w:r>
        <w:t xml:space="preserve"> </w:t>
      </w:r>
      <w:r>
        <w:t xml:space="preserve">is achieved by point substitutions within an otherwise similar pocket.</w:t>
      </w:r>
      <w:r>
        <w:t xml:space="preserve"> </w:t>
      </w:r>
      <w:r>
        <w:t xml:space="preserve">Outside the family, a genome-scale skin-expression screen (604 candidate</w:t>
      </w:r>
      <w:r>
        <w:t xml:space="preserve"> </w:t>
      </w:r>
      <w:r>
        <w:t xml:space="preserve">genes) combined with druggability filtering and pocket-fingerprint</w:t>
      </w:r>
      <w:r>
        <w:t xml:space="preserve"> </w:t>
      </w:r>
      <w:r>
        <w:t xml:space="preserve">comparison put three genes at the top of both independent rankings — matrix</w:t>
      </w:r>
      <w:r>
        <w:t xml:space="preserve"> </w:t>
      </w:r>
      <w:r>
        <w:t xml:space="preserve">metalloproteinase-3 (MMP3), neurotrophin-4 (NTF4), and bleomycin hydrolase</w:t>
      </w:r>
      <w:r>
        <w:t xml:space="preserve"> </w:t>
      </w:r>
      <w:r>
        <w:t xml:space="preserve">(BLMH); after a known-biology cross-check (which deprioritized NTF4 as a</w:t>
      </w:r>
      <w:r>
        <w:t xml:space="preserve"> </w:t>
      </w:r>
      <w:r>
        <w:t xml:space="preserve">probable protein–protein interface) and a separate, pre-specified</w:t>
      </w:r>
      <w:r>
        <w:t xml:space="preserve"> </w:t>
      </w:r>
      <w:r>
        <w:t xml:space="preserve">biology-driven prioritization applied to the full 26-gene list, MMP3 and</w:t>
      </w:r>
      <w:r>
        <w:t xml:space="preserve"> </w:t>
      </w:r>
      <w:r>
        <w:t xml:space="preserve">retinoic acid receptor gamma (RARG) were carried into cross-docking — the</w:t>
      </w:r>
      <w:r>
        <w:t xml:space="preserve"> </w:t>
      </w:r>
      <w:r>
        <w:t xml:space="preserve">latter leading neither distance ranking but having near-maximal</w:t>
      </w:r>
      <w:r>
        <w:t xml:space="preserve"> </w:t>
      </w:r>
      <w:r>
        <w:t xml:space="preserve">druggability and being the target of an already-approved topical</w:t>
      </w:r>
      <w:r>
        <w:t xml:space="preserve"> </w:t>
      </w:r>
      <w:r>
        <w:t xml:space="preserve">retinoid. Cross-docking supported the strongest of these</w:t>
      </w:r>
      <w:r>
        <w:t xml:space="preserve"> </w:t>
      </w:r>
      <w:r>
        <w:t xml:space="preserve">predictions without confirming it: for most of the seven TRPV1 reference</w:t>
      </w:r>
      <w:r>
        <w:t xml:space="preserve"> </w:t>
      </w:r>
      <w:r>
        <w:t xml:space="preserve">agonists, Vina docking scores against RARG’s retinoid pocket, and,</w:t>
      </w:r>
      <w:r>
        <w:t xml:space="preserve"> </w:t>
      </w:r>
      <w:r>
        <w:t xml:space="preserve">separately, against a corrected zinc/calcium-retaining MMP3 receptor, were</w:t>
      </w:r>
      <w:r>
        <w:t xml:space="preserve"> </w:t>
      </w:r>
      <w:r>
        <w:t xml:space="preserve">numerically comparable to (in several cases somewhat more favorable than)</w:t>
      </w:r>
      <w:r>
        <w:t xml:space="preserve"> </w:t>
      </w:r>
      <w:r>
        <w:t xml:space="preserve">their scores against TRPV1 itself; resiniferatoxin, the bulkiest and</w:t>
      </w:r>
      <w:r>
        <w:t xml:space="preserve"> </w:t>
      </w:r>
      <w:r>
        <w:t xml:space="preserve">structurally most complex ligand tested, was the consistent outlier at</w:t>
      </w:r>
      <w:r>
        <w:t xml:space="preserve"> </w:t>
      </w:r>
      <w:r>
        <w:t xml:space="preserve">both off-targets. Docking scores are not a direct measure of binding</w:t>
      </w:r>
      <w:r>
        <w:t xml:space="preserve"> </w:t>
      </w:r>
      <w:r>
        <w:t xml:space="preserve">affinity, and cross-receptor score comparisons carry additional</w:t>
      </w:r>
      <w:r>
        <w:t xml:space="preserve"> </w:t>
      </w:r>
      <w:r>
        <w:t xml:space="preserve">uncertainty beyond the single-receptor ranking use case for which this</w:t>
      </w:r>
      <w:r>
        <w:t xml:space="preserve"> </w:t>
      </w:r>
      <w:r>
        <w:t xml:space="preserve">scoring function was designed; these results should be read as motivation</w:t>
      </w:r>
      <w:r>
        <w:t xml:space="preserve"> </w:t>
      </w:r>
      <w:r>
        <w:t xml:space="preserve">for experimental follow-up, not as evidence of actual cross-reactivity. To</w:t>
      </w:r>
      <w:r>
        <w:t xml:space="preserve"> </w:t>
      </w:r>
      <w:r>
        <w:t xml:space="preserve">test that uncertainty directly, we separately redocked a property-matched</w:t>
      </w:r>
      <w:r>
        <w:t xml:space="preserve"> </w:t>
      </w:r>
      <w:r>
        <w:t xml:space="preserve">panel of 30 known active and 30 inactive ChEMBL-annotated compounds per</w:t>
      </w:r>
      <w:r>
        <w:t xml:space="preserve"> </w:t>
      </w:r>
      <w:r>
        <w:t xml:space="preserve">off-target and asked whether Vina score alone separates them within each</w:t>
      </w:r>
      <w:r>
        <w:t xml:space="preserve"> </w:t>
      </w:r>
      <w:r>
        <w:t xml:space="preserve">receptor. RARG passed this ground-truth check (ROC-AUC 0.811); MMP3 did</w:t>
      </w:r>
      <w:r>
        <w:t xml:space="preserve"> </w:t>
      </w:r>
      <w:r>
        <w:t xml:space="preserve">not (ROC-AUC 0.503, indistinguishable from chance) and remained</w:t>
      </w:r>
      <w:r>
        <w:t xml:space="preserve"> </w:t>
      </w:r>
      <w:r>
        <w:t xml:space="preserve">near-chance (ROC-AUC 0.551) even after replacing the plain Vina scoring</w:t>
      </w:r>
      <w:r>
        <w:t xml:space="preserve"> </w:t>
      </w:r>
      <w:r>
        <w:t xml:space="preserve">function with AD4Zn, a force field with an explicit zinc-coordination</w:t>
      </w:r>
      <w:r>
        <w:t xml:space="preserve"> </w:t>
      </w:r>
      <w:r>
        <w:t xml:space="preserve">potential. Separately, to put the qualitative paralog claim on a</w:t>
      </w:r>
      <w:r>
        <w:t xml:space="preserve"> </w:t>
      </w:r>
      <w:r>
        <w:t xml:space="preserve">quantitative footing, we compared local ESM-2 representations restricted to</w:t>
      </w:r>
      <w:r>
        <w:t xml:space="preserve"> </w:t>
      </w:r>
      <w:r>
        <w:t xml:space="preserve">the four vanilloid-pocket-lining residues and mapped across paralogs by</w:t>
      </w:r>
      <w:r>
        <w:t xml:space="preserve"> </w:t>
      </w:r>
      <w:r>
        <w:t xml:space="preserve">alignment: these reproduce the greater pocket-level divergence of</w:t>
      </w:r>
      <w:r>
        <w:t xml:space="preserve"> </w:t>
      </w:r>
      <w:r>
        <w:t xml:space="preserve">TRPV5/TRPV6 (0.93–0.94 versus 0.965–0.969 for TRPV2–4) but do not</w:t>
      </w:r>
      <w:r>
        <w:t xml:space="preserve"> </w:t>
      </w:r>
      <w:r>
        <w:t xml:space="preserve">corroborate the TRPV4-specific part of the claim, which we read as a</w:t>
      </w:r>
      <w:r>
        <w:t xml:space="preserve"> </w:t>
      </w:r>
      <w:r>
        <w:t xml:space="preserve">limitation of window pooling.</w:t>
      </w:r>
      <w:r>
        <w:t xml:space="preserve"> </w:t>
      </w:r>
      <w:r>
        <w:rPr>
          <w:b/>
          <w:bCs/>
        </w:rPr>
        <w:t xml:space="preserve">Conclusions.</w:t>
      </w:r>
      <w:r>
        <w:t xml:space="preserve"> </w:t>
      </w:r>
      <w:r>
        <w:t xml:space="preserve">Off-target risk for this chemical series is plausibly not</w:t>
      </w:r>
      <w:r>
        <w:t xml:space="preserve"> </w:t>
      </w:r>
      <w:r>
        <w:t xml:space="preserve">confined to the TRPV/TRPA family and, on this evidence, is not obviously</w:t>
      </w:r>
      <w:r>
        <w:t xml:space="preserve"> </w:t>
      </w:r>
      <w:r>
        <w:t xml:space="preserve">restricted to smaller or simpler candidates either — it spans most of the</w:t>
      </w:r>
      <w:r>
        <w:t xml:space="preserve"> </w:t>
      </w:r>
      <w:r>
        <w:t xml:space="preserve">tested series at two independent, structurally unrelated off-targets. The</w:t>
      </w:r>
      <w:r>
        <w:t xml:space="preserve"> </w:t>
      </w:r>
      <w:r>
        <w:t xml:space="preserve">independent discrimination check corroborates RARG as a priority candidate</w:t>
      </w:r>
      <w:r>
        <w:t xml:space="preserve"> </w:t>
      </w:r>
      <w:r>
        <w:t xml:space="preserve">for further counter-screening of TRPV1-directed topical analgesic</w:t>
      </w:r>
      <w:r>
        <w:t xml:space="preserve"> </w:t>
      </w:r>
      <w:r>
        <w:t xml:space="preserve">candidates in this structural class; MMP3, despite an initially similar</w:t>
      </w:r>
      <w:r>
        <w:t xml:space="preserve"> </w:t>
      </w:r>
      <w:r>
        <w:t xml:space="preserve">pocket-similarity and cross-docking signal, failed this check even under a</w:t>
      </w:r>
      <w:r>
        <w:t xml:space="preserve"> </w:t>
      </w:r>
      <w:r>
        <w:t xml:space="preserve">zinc-aware scoring function and is better treated as a methodologically</w:t>
      </w:r>
      <w:r>
        <w:t xml:space="preserve"> </w:t>
      </w:r>
      <w:r>
        <w:t xml:space="preserve">unresolved watch item than a confirmed co-priority target. We outline a</w:t>
      </w:r>
      <w:r>
        <w:t xml:space="preserve"> </w:t>
      </w:r>
      <w:r>
        <w:t xml:space="preserve">low-cost, pre-lead computational triage pipeline (tissue expression →</w:t>
      </w:r>
      <w:r>
        <w:t xml:space="preserve"> </w:t>
      </w:r>
      <w:r>
        <w:t xml:space="preserve">pocket geometry → targeted cross-docking → ground-truth discrimination</w:t>
      </w:r>
      <w:r>
        <w:t xml:space="preserve"> </w:t>
      </w:r>
      <w:r>
        <w:t xml:space="preserve">check) that is generalizable to other topical/localized small-molecule</w:t>
      </w:r>
      <w:r>
        <w:t xml:space="preserve"> </w:t>
      </w:r>
      <w:r>
        <w:t xml:space="preserve">programs.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TRPV1; off-target safety; molecular docking; pocket</w:t>
      </w:r>
      <w:r>
        <w:t xml:space="preserve"> </w:t>
      </w:r>
      <w:r>
        <w:t xml:space="preserve">similarity; fpocket; retinoic acid receptor gamma; matrix metalloproteinase-3;</w:t>
      </w:r>
      <w:r>
        <w:t xml:space="preserve"> </w:t>
      </w:r>
      <w:r>
        <w:t xml:space="preserve">topical analgesic; in silico toxicology; polypharmacology; AutoDock4Zn;</w:t>
      </w:r>
      <w:r>
        <w:t xml:space="preserve"> </w:t>
      </w:r>
      <w:r>
        <w:t xml:space="preserve">docking enrichment; ROC-AUC; ESM-2; protein language models</w: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Transient receptor potential vanilloid 1 (TRPV1) is a non-selective cation</w:t>
      </w:r>
      <w:r>
        <w:t xml:space="preserve"> </w:t>
      </w:r>
      <w:r>
        <w:t xml:space="preserve">channel that transduces noxious heat, protons, and vanilloid ligands in</w:t>
      </w:r>
      <w:r>
        <w:t xml:space="preserve"> </w:t>
      </w:r>
      <w:r>
        <w:t xml:space="preserve">peripheral nociceptors, and is the mechanistic target of the only approved</w:t>
      </w:r>
      <w:r>
        <w:t xml:space="preserve"> </w:t>
      </w:r>
      <w:r>
        <w:t xml:space="preserve">topical agonist-desensitization analgesic in this class (capsaicin 8%</w:t>
      </w:r>
      <w:r>
        <w:t xml:space="preserve"> </w:t>
      </w:r>
      <w:r>
        <w:t xml:space="preserve">patch, Qutenza) [18]. Systemic TRPV1 antagonism has repeatedly failed in</w:t>
      </w:r>
      <w:r>
        <w:t xml:space="preserve"> </w:t>
      </w:r>
      <w:r>
        <w:t xml:space="preserve">clinical development because of on-target hyperthermia [30], which has directed</w:t>
      </w:r>
      <w:r>
        <w:t xml:space="preserve"> </w:t>
      </w:r>
      <w:r>
        <w:t xml:space="preserve">renewed interest in topical, agonist-driven strategies aimed at minimizing</w:t>
      </w:r>
      <w:r>
        <w:t xml:space="preserve"> </w:t>
      </w:r>
      <w:r>
        <w:t xml:space="preserve">(not eliminating) systemic exposure — even the approved capsaicin patch</w:t>
      </w:r>
      <w:r>
        <w:t xml:space="preserve"> </w:t>
      </w:r>
      <w:r>
        <w:t xml:space="preserve">shows low, transient plasma capsaicin levels in a minority of patients per</w:t>
      </w:r>
      <w:r>
        <w:t xml:space="preserve"> </w:t>
      </w:r>
      <w:r>
        <w:t xml:space="preserve">its FDA labeling [18]. Any such program still requires an off-target safety</w:t>
      </w:r>
      <w:r>
        <w:t xml:space="preserve"> </w:t>
      </w:r>
      <w:r>
        <w:t xml:space="preserve">case, and the standard approach — profiling activity against the target’s</w:t>
      </w:r>
      <w:r>
        <w:t xml:space="preserve"> </w:t>
      </w:r>
      <w:r>
        <w:t xml:space="preserve">sequence-paralog family — is necessary but not sufficient for two reasons.</w:t>
      </w:r>
      <w:r>
        <w:t xml:space="preserve"> </w:t>
      </w:r>
      <w:r>
        <w:t xml:space="preserve">First, whole-protein sequence identity is an unreliable proxy for</w:t>
      </w:r>
      <w:r>
        <w:t xml:space="preserve"> </w:t>
      </w:r>
      <w:r>
        <w:t xml:space="preserve">similarity at the specific ligand-binding site that actually matters</w:t>
      </w:r>
      <w:r>
        <w:t xml:space="preserve"> </w:t>
      </w:r>
      <w:r>
        <w:t xml:space="preserve">pharmacologically; two paralogs can differ substantially in overall</w:t>
      </w:r>
      <w:r>
        <w:t xml:space="preserve"> </w:t>
      </w:r>
      <w:r>
        <w:t xml:space="preserve">identity while sharing a nearly identical pocket, or vice versa. Second,</w:t>
      </w:r>
      <w:r>
        <w:t xml:space="preserve"> </w:t>
      </w:r>
      <w:r>
        <w:t xml:space="preserve">sequence relatedness says nothing about</w:t>
      </w:r>
      <w:r>
        <w:t xml:space="preserve"> </w:t>
      </w:r>
      <w:r>
        <w:rPr>
          <w:i/>
          <w:iCs/>
        </w:rPr>
        <w:t xml:space="preserve">unrelated</w:t>
      </w:r>
      <w:r>
        <w:t xml:space="preserve"> </w:t>
      </w:r>
      <w:r>
        <w:t xml:space="preserve">proteins that</w:t>
      </w:r>
      <w:r>
        <w:t xml:space="preserve"> </w:t>
      </w:r>
      <w:r>
        <w:t xml:space="preserve">happen to (a) present a geometrically and chemically similar pocket and (b)</w:t>
      </w:r>
      <w:r>
        <w:t xml:space="preserve"> </w:t>
      </w:r>
      <w:r>
        <w:t xml:space="preserve">be co-expressed at the intended site of local drug action — a risk category</w:t>
      </w:r>
      <w:r>
        <w:t xml:space="preserve"> </w:t>
      </w:r>
      <w:r>
        <w:t xml:space="preserve">that standard paralog panels cannot detect by construction, and that is</w:t>
      </w:r>
      <w:r>
        <w:t xml:space="preserve"> </w:t>
      </w:r>
      <w:r>
        <w:t xml:space="preserve">normally only caught late, via broad empirical selectivity panels after a</w:t>
      </w:r>
      <w:r>
        <w:t xml:space="preserve"> </w:t>
      </w:r>
      <w:r>
        <w:t xml:space="preserve">lead compound already exists.</w:t>
      </w:r>
    </w:p>
    <w:p>
      <w:pPr>
        <w:pStyle w:val="BodyText"/>
      </w:pPr>
      <w:r>
        <w:t xml:space="preserve">We report a two-stage in silico triage addressing both gaps for a topical</w:t>
      </w:r>
      <w:r>
        <w:t xml:space="preserve"> </w:t>
      </w:r>
      <w:r>
        <w:t xml:space="preserve">TRPV1 agonist program. Stage one is a literature-anchored reassessment of</w:t>
      </w:r>
      <w:r>
        <w:t xml:space="preserve"> </w:t>
      </w:r>
      <w:r>
        <w:t xml:space="preserve">the TRPV1 paralog family (TRPV2–6, plus the mechanistically related channel</w:t>
      </w:r>
      <w:r>
        <w:t xml:space="preserve"> </w:t>
      </w:r>
      <w:r>
        <w:t xml:space="preserve">TRPA1) that explicitly separates whole-protein sequence identity from</w:t>
      </w:r>
      <w:r>
        <w:t xml:space="preserve"> </w:t>
      </w:r>
      <w:r>
        <w:t xml:space="preserve">binding-site-level structural conservation. Stage two is a structure-based</w:t>
      </w:r>
      <w:r>
        <w:t xml:space="preserve"> </w:t>
      </w:r>
      <w:r>
        <w:t xml:space="preserve">screen for off-target risk</w:t>
      </w:r>
      <w:r>
        <w:t xml:space="preserve"> </w:t>
      </w:r>
      <w:r>
        <w:rPr>
          <w:i/>
          <w:iCs/>
        </w:rPr>
        <w:t xml:space="preserve">outside</w:t>
      </w:r>
      <w:r>
        <w:t xml:space="preserve"> </w:t>
      </w:r>
      <w:r>
        <w:t xml:space="preserve">the TRPV/TRPA family: a</w:t>
      </w:r>
      <w:r>
        <w:t xml:space="preserve"> </w:t>
      </w:r>
      <w:r>
        <w:t xml:space="preserve">tissue-expression filter to enumerate druggable proteins co-expressed at the</w:t>
      </w:r>
      <w:r>
        <w:t xml:space="preserve"> </w:t>
      </w:r>
      <w:r>
        <w:t xml:space="preserve">skin (the site of topical drug action), cavity-detection-based comparison of</w:t>
      </w:r>
      <w:r>
        <w:t xml:space="preserve"> </w:t>
      </w:r>
      <w:r>
        <w:t xml:space="preserve">candidate pockets against TRPV1’s vanilloid pocket, and — for the resulting</w:t>
      </w:r>
      <w:r>
        <w:t xml:space="preserve"> </w:t>
      </w:r>
      <w:r>
        <w:t xml:space="preserve">top candidates — direct cross-docking of the program’s reference agonist</w:t>
      </w:r>
      <w:r>
        <w:t xml:space="preserve"> </w:t>
      </w:r>
      <w:r>
        <w:t xml:space="preserve">series to test whether the structural prediction holds up against an actual</w:t>
      </w:r>
      <w:r>
        <w:t xml:space="preserve"> </w:t>
      </w:r>
      <w:r>
        <w:t xml:space="preserve">scoring function. All software and data-source choices were selected to</w:t>
      </w:r>
      <w:r>
        <w:t xml:space="preserve"> </w:t>
      </w:r>
      <w:r>
        <w:t xml:space="preserve">keep the pipeline inexpensive and reproducible with tools already validated</w:t>
      </w:r>
      <w:r>
        <w:t xml:space="preserve"> </w:t>
      </w:r>
      <w:r>
        <w:t xml:space="preserve">in the group’s docking workflow, so that it can run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 lead exists,</w:t>
      </w:r>
      <w:r>
        <w:t xml:space="preserve"> </w:t>
      </w:r>
      <w:r>
        <w:t xml:space="preserve">rather than replacing later empirical selectivity profiling.</w:t>
      </w:r>
    </w:p>
    <w:bookmarkEnd w:id="10"/>
    <w:bookmarkStart w:id="17" w:name="materials-and-methods"/>
    <w:p>
      <w:pPr>
        <w:pStyle w:val="Heading2"/>
      </w:pPr>
      <w:r>
        <w:t xml:space="preserve">2. Materials and Methods</w:t>
      </w:r>
    </w:p>
    <w:bookmarkStart w:id="11" w:name="paralog-family-curation"/>
    <w:p>
      <w:pPr>
        <w:pStyle w:val="Heading3"/>
      </w:pPr>
      <w:r>
        <w:t xml:space="preserve">2.1 Paralog-family curation</w:t>
      </w:r>
    </w:p>
    <w:p>
      <w:pPr>
        <w:pStyle w:val="FirstParagraph"/>
      </w:pPr>
      <w:r>
        <w:t xml:space="preserve">Sequence-paralog identity, curated safety liabilities, and target</w:t>
      </w:r>
      <w:r>
        <w:t xml:space="preserve"> </w:t>
      </w:r>
      <w:r>
        <w:t xml:space="preserve">tractability for TRPV1 and its five closest human paralogs (TRPV2–6) were</w:t>
      </w:r>
      <w:r>
        <w:t xml:space="preserve"> </w:t>
      </w:r>
      <w:r>
        <w:t xml:space="preserve">retrieved from the Open Targets Platform GraphQL API [1], which integrates</w:t>
      </w:r>
      <w:r>
        <w:t xml:space="preserve"> </w:t>
      </w:r>
      <w:r>
        <w:t xml:space="preserve">Ensembl-derived homology calls with curated pharmacovigilance and genetic</w:t>
      </w:r>
      <w:r>
        <w:t xml:space="preserve"> </w:t>
      </w:r>
      <w:r>
        <w:t xml:space="preserve">data. Liabilities not curated in Open Targets (found for TRPV5 and TRPV6)</w:t>
      </w:r>
      <w:r>
        <w:t xml:space="preserve"> </w:t>
      </w:r>
      <w:r>
        <w:t xml:space="preserve">were added from a targeted literature search. TRPA1, a mechanistically</w:t>
      </w:r>
      <w:r>
        <w:t xml:space="preserve"> </w:t>
      </w:r>
      <w:r>
        <w:t xml:space="preserve">adjacent, co-expressed nociceptor channel that is not a TRPV1 sequence</w:t>
      </w:r>
      <w:r>
        <w:t xml:space="preserve"> </w:t>
      </w:r>
      <w:r>
        <w:t xml:space="preserve">paralog, was included on functional grounds.</w:t>
      </w:r>
    </w:p>
    <w:bookmarkEnd w:id="11"/>
    <w:bookmarkStart w:id="12" w:name="skin-expressed-candidate-selection"/>
    <w:p>
      <w:pPr>
        <w:pStyle w:val="Heading3"/>
      </w:pPr>
      <w:r>
        <w:t xml:space="preserve">2.2 Skin-expressed candidate selection</w:t>
      </w:r>
    </w:p>
    <w:p>
      <w:pPr>
        <w:pStyle w:val="FirstParagraph"/>
      </w:pPr>
      <w:r>
        <w:t xml:space="preserve">Candidate off-target proteins were enumerated from the Human Protein Atlas</w:t>
      </w:r>
      <w:r>
        <w:t xml:space="preserve"> </w:t>
      </w:r>
      <w:r>
        <w:t xml:space="preserve">RNA tissue-specificity resource [2], filtering to genes classified</w:t>
      </w:r>
      <w:r>
        <w:t xml:space="preserve"> </w:t>
      </w:r>
      <w:r>
        <w:t xml:space="preserve">“Tissue</w:t>
      </w:r>
      <w:r>
        <w:t xml:space="preserve"> </w:t>
      </w:r>
      <w:r>
        <w:t xml:space="preserve">enriched,”</w:t>
      </w:r>
      <w:r>
        <w:t xml:space="preserve"> </w:t>
      </w:r>
      <w:r>
        <w:t xml:space="preserve">“Group enriched,”</w:t>
      </w:r>
      <w:r>
        <w:t xml:space="preserve"> </w:t>
      </w:r>
      <w:r>
        <w:t xml:space="preserve">or</w:t>
      </w:r>
      <w:r>
        <w:t xml:space="preserve"> </w:t>
      </w:r>
      <w:r>
        <w:t xml:space="preserve">“Tissue enhanced”</w:t>
      </w:r>
      <w:r>
        <w:t xml:space="preserve"> </w:t>
      </w:r>
      <w:r>
        <w:t xml:space="preserve">for skin. Each candidate</w:t>
      </w:r>
      <w:r>
        <w:t xml:space="preserve"> </w:t>
      </w:r>
      <w:r>
        <w:t xml:space="preserve">was cross-referenced against Open Targets</w:t>
      </w:r>
      <w:r>
        <w:t xml:space="preserve"> </w:t>
      </w:r>
      <w:r>
        <w:rPr>
          <w:rStyle w:val="VerbatimChar"/>
        </w:rPr>
        <w:t xml:space="preserve">targetClass</w:t>
      </w:r>
      <w:r>
        <w:t xml:space="preserve"> </w:t>
      </w:r>
      <w:r>
        <w:t xml:space="preserve">and small-molecule</w:t>
      </w:r>
      <w:r>
        <w:t xml:space="preserve"> </w:t>
      </w:r>
      <w:r>
        <w:rPr>
          <w:rStyle w:val="VerbatimChar"/>
        </w:rPr>
        <w:t xml:space="preserve">tractability</w:t>
      </w:r>
      <w:r>
        <w:t xml:space="preserve"> </w:t>
      </w:r>
      <w:r>
        <w:t xml:space="preserve">annotations [1] to exclude genes with no known ligand-binding</w:t>
      </w:r>
      <w:r>
        <w:t xml:space="preserve"> </w:t>
      </w:r>
      <w:r>
        <w:t xml:space="preserve">pocket (predominantly structural/barrier proteins) and to tier the</w:t>
      </w:r>
      <w:r>
        <w:t xml:space="preserve"> </w:t>
      </w:r>
      <w:r>
        <w:t xml:space="preserve">remainder by strength of pocket evidence (confirmed pocket; ligand-bound</w:t>
      </w:r>
      <w:r>
        <w:t xml:space="preserve"> </w:t>
      </w:r>
      <w:r>
        <w:t xml:space="preserve">structure without an explicit pocket call; druggable-looking protein family</w:t>
      </w:r>
      <w:r>
        <w:t xml:space="preserve"> </w:t>
      </w:r>
      <w:r>
        <w:t xml:space="preserve">without structural evidence). This report covers the highest-confidence</w:t>
      </w:r>
      <w:r>
        <w:t xml:space="preserve"> </w:t>
      </w:r>
      <w:r>
        <w:t xml:space="preserve">tier only.</w:t>
      </w:r>
    </w:p>
    <w:bookmarkEnd w:id="12"/>
    <w:bookmarkStart w:id="13" w:name="Xf6c6ec05ab2f74df1ec50c659dba78c0504c4de"/>
    <w:p>
      <w:pPr>
        <w:pStyle w:val="Heading3"/>
      </w:pPr>
      <w:r>
        <w:t xml:space="preserve">2.3 Cavity detection and pocket-fingerprint comparison</w:t>
      </w:r>
    </w:p>
    <w:p>
      <w:pPr>
        <w:pStyle w:val="FirstParagraph"/>
      </w:pPr>
      <w:r>
        <w:t xml:space="preserve">Protein cavities were detected with fpocket [3], a geometry-only detector</w:t>
      </w:r>
      <w:r>
        <w:t xml:space="preserve"> </w:t>
      </w:r>
      <w:r>
        <w:t xml:space="preserve">(Voronoi tessellation/alpha-spheres) that requires no bound ligand and</w:t>
      </w:r>
      <w:r>
        <w:t xml:space="preserve"> </w:t>
      </w:r>
      <w:r>
        <w:t xml:space="preserve">scales to dozens of structures in minutes. The method was validated against</w:t>
      </w:r>
      <w:r>
        <w:t xml:space="preserve"> </w:t>
      </w:r>
      <w:r>
        <w:t xml:space="preserve">ground truth before use: run on the TRPV1 vanilloid-pocket-containing</w:t>
      </w:r>
      <w:r>
        <w:t xml:space="preserve"> </w:t>
      </w:r>
      <w:r>
        <w:t xml:space="preserve">fragment (chains A+D of PDB 11CK, trimmed to the inter-subunit region known</w:t>
      </w:r>
      <w:r>
        <w:t xml:space="preserve"> </w:t>
      </w:r>
      <w:r>
        <w:t xml:space="preserve">to form the pocket), fpocket’s own top-ranked cavity independently recovered</w:t>
      </w:r>
      <w:r>
        <w:t xml:space="preserve"> </w:t>
      </w:r>
      <w:r>
        <w:t xml:space="preserve">all four literature-established vanilloid-pocket residues (Tyr511, Ser512,</w:t>
      </w:r>
      <w:r>
        <w:t xml:space="preserve"> </w:t>
      </w:r>
      <w:r>
        <w:t xml:space="preserve">Thr550, Glu570) [4,5]. This confirms that</w:t>
      </w:r>
      <w:r>
        <w:t xml:space="preserve"> </w:t>
      </w:r>
      <w:r>
        <w:t xml:space="preserve">“fpocket’s own top-ranked pocket”</w:t>
      </w:r>
      <w:r>
        <w:t xml:space="preserve"> </w:t>
      </w:r>
      <w:r>
        <w:t xml:space="preserve">is a valid selection rule prior to applying it, blind, to candidate</w:t>
      </w:r>
      <w:r>
        <w:t xml:space="preserve"> </w:t>
      </w:r>
      <w:r>
        <w:t xml:space="preserve">off-targets.</w:t>
      </w:r>
    </w:p>
    <w:p>
      <w:pPr>
        <w:pStyle w:val="BodyText"/>
      </w:pPr>
      <w:r>
        <w:t xml:space="preserve">For each candidate gene, the best-available experimental structure was</w:t>
      </w:r>
      <w:r>
        <w:t xml:space="preserve"> </w:t>
      </w:r>
      <w:r>
        <w:t xml:space="preserve">retrieved via UniProt cross-references to the RCSB Protein Data Bank</w:t>
      </w:r>
      <w:r>
        <w:t xml:space="preserve"> </w:t>
      </w:r>
      <w:r>
        <w:t xml:space="preserve">[6,7], preferring the largest resolved chain span and best resolution.</w:t>
      </w:r>
      <w:r>
        <w:t xml:space="preserve"> </w:t>
      </w:r>
      <w:r>
        <w:t xml:space="preserve">Each detected pocket was described by an eight-descriptor fingerprint</w:t>
      </w:r>
      <w:r>
        <w:t xml:space="preserve"> </w:t>
      </w:r>
      <w:r>
        <w:t xml:space="preserve">(fpocket’s druggability score, volume, hydrophobicity score, polarity</w:t>
      </w:r>
      <w:r>
        <w:t xml:space="preserve"> </w:t>
      </w:r>
      <w:r>
        <w:t xml:space="preserve">score, charge score, proportion of polar atoms, apolar alpha-sphere</w:t>
      </w:r>
      <w:r>
        <w:t xml:space="preserve"> </w:t>
      </w:r>
      <w:r>
        <w:t xml:space="preserve">proportion, and mean local hydrophobic density), z-score normalized across</w:t>
      </w:r>
      <w:r>
        <w:t xml:space="preserve"> </w:t>
      </w:r>
      <w:r>
        <w:t xml:space="preserve">all pockets on all structures, and compared to the TRPV1 reference pocket by</w:t>
      </w:r>
      <w:r>
        <w:t xml:space="preserve"> </w:t>
      </w:r>
      <w:r>
        <w:t xml:space="preserve">Euclidean distance and cosine similarity. Two independent rankings were</w:t>
      </w:r>
      <w:r>
        <w:t xml:space="preserve"> </w:t>
      </w:r>
      <w:r>
        <w:t xml:space="preserve">computed per candidate — the best-matching pocket found anywhere on the</w:t>
      </w:r>
      <w:r>
        <w:t xml:space="preserve"> </w:t>
      </w:r>
      <w:r>
        <w:t xml:space="preserve">structure, and the single pocket fpocket itself ranks highest (the rule</w:t>
      </w:r>
      <w:r>
        <w:t xml:space="preserve"> </w:t>
      </w:r>
      <w:r>
        <w:t xml:space="preserve">validated against TRPV1) — to guard against a multiple-comparisons bias that</w:t>
      </w:r>
      <w:r>
        <w:t xml:space="preserve"> </w:t>
      </w:r>
      <w:r>
        <w:t xml:space="preserve">favors proteins with many detected cavities.</w:t>
      </w:r>
    </w:p>
    <w:bookmarkEnd w:id="13"/>
    <w:bookmarkStart w:id="14" w:name="molecular-docking"/>
    <w:p>
      <w:pPr>
        <w:pStyle w:val="Heading3"/>
      </w:pPr>
      <w:r>
        <w:t xml:space="preserve">2.4 Molecular docking</w:t>
      </w:r>
    </w:p>
    <w:p>
      <w:pPr>
        <w:pStyle w:val="FirstParagraph"/>
      </w:pPr>
      <w:r>
        <w:t xml:space="preserve">Candidate ligands were the seven-compound TRPV1 agonist reference series</w:t>
      </w:r>
      <w:r>
        <w:t xml:space="preserve"> </w:t>
      </w:r>
      <w:r>
        <w:t xml:space="preserve">already used for the group’s residence-time pilot (resiniferatoxin,</w:t>
      </w:r>
      <w:r>
        <w:t xml:space="preserve"> </w:t>
      </w:r>
      <w:r>
        <w:t xml:space="preserve">phenylacetylrinvanil, olvanil, arvanil, rinvanil, capsaicin, nonivamide),</w:t>
      </w:r>
      <w:r>
        <w:t xml:space="preserve"> </w:t>
      </w:r>
      <w:r>
        <w:t xml:space="preserve">spanning approximately five orders of magnitude in TRPV1 EC50. Ligand 3D</w:t>
      </w:r>
      <w:r>
        <w:t xml:space="preserve"> </w:t>
      </w:r>
      <w:r>
        <w:t xml:space="preserve">conformers were generated from isomeric SMILES with RDKit (ETKDGv3</w:t>
      </w:r>
      <w:r>
        <w:t xml:space="preserve"> </w:t>
      </w:r>
      <w:r>
        <w:t xml:space="preserve">embedding, MMFF optimization) and prepared for docking with Meeko [8].</w:t>
      </w:r>
      <w:r>
        <w:t xml:space="preserve"> </w:t>
      </w:r>
      <w:r>
        <w:t xml:space="preserve">Receptor structures for the two candidates carried forward from Section</w:t>
      </w:r>
      <w:r>
        <w:t xml:space="preserve"> </w:t>
      </w:r>
      <w:r>
        <w:t xml:space="preserve">2.3/3.2 (MMP3 and RARG; selection rationale for each detailed in Section</w:t>
      </w:r>
      <w:r>
        <w:t xml:space="preserve"> </w:t>
      </w:r>
      <w:r>
        <w:t xml:space="preserve">3.2) were prepared with Meeko’s</w:t>
      </w:r>
      <w:r>
        <w:t xml:space="preserve"> </w:t>
      </w:r>
      <w:r>
        <w:rPr>
          <w:rStyle w:val="VerbatimChar"/>
        </w:rPr>
        <w:t xml:space="preserve">mk_prepare_receptor.py</w:t>
      </w:r>
      <w:r>
        <w:t xml:space="preserve">. For RARG, PDB</w:t>
      </w:r>
      <w:r>
        <w:t xml:space="preserve"> </w:t>
      </w:r>
      <w:r>
        <w:t xml:space="preserve">6FX0 [19]</w:t>
      </w:r>
      <w:r>
        <w:t xml:space="preserve"> </w:t>
      </w:r>
      <w:r>
        <w:t xml:space="preserve">(chain A; the same structure flagged in Section 3.2) was used, with the</w:t>
      </w:r>
      <w:r>
        <w:t xml:space="preserve"> </w:t>
      </w:r>
      <w:r>
        <w:t xml:space="preserve">docking search box centered on the flagged pocket’s alpha-sphere centroid</w:t>
      </w:r>
      <w:r>
        <w:t xml:space="preserve"> </w:t>
      </w:r>
      <w:r>
        <w:t xml:space="preserve">(padded 6 Å per side; center (12.91, −8.71, −8.53) Å, size 22.3×19.7×19.8</w:t>
      </w:r>
      <w:r>
        <w:t xml:space="preserve"> </w:t>
      </w:r>
      <w:r>
        <w:t xml:space="preserve">Å). For MMP3, the structure used for the initial fpocket screen (PDB 1SLM)</w:t>
      </w:r>
      <w:r>
        <w:t xml:space="preserve"> </w:t>
      </w:r>
      <w:r>
        <w:t xml:space="preserve">is an apo (unliganded) crystal form; because docking accuracy for a</w:t>
      </w:r>
      <w:r>
        <w:t xml:space="preserve"> </w:t>
      </w:r>
      <w:r>
        <w:t xml:space="preserve">metalloprotease depends on retaining the catalytic zinc, we instead used</w:t>
      </w:r>
      <w:r>
        <w:t xml:space="preserve"> </w:t>
      </w:r>
      <w:r>
        <w:t xml:space="preserve">the holo structure PDB 1HFS [21] (chain A; 1.70 Å resolution,</w:t>
      </w:r>
      <w:r>
        <w:t xml:space="preserve"> </w:t>
      </w:r>
      <w:r>
        <w:t xml:space="preserve">co-crystallized with the hydroxamate</w:t>
      </w:r>
      <w:r>
        <w:t xml:space="preserve"> </w:t>
      </w:r>
      <w:r>
        <w:t xml:space="preserve">inhibitor L04), keeping all resolved Zn²⁺ (n=2) and Ca²⁺ (n=3) ions as a</w:t>
      </w:r>
      <w:r>
        <w:t xml:space="preserve"> </w:t>
      </w:r>
      <w:r>
        <w:t xml:space="preserve">rigid part of the receptor and centering the search box on the</w:t>
      </w:r>
      <w:r>
        <w:t xml:space="preserve"> </w:t>
      </w:r>
      <w:r>
        <w:t xml:space="preserve">co-crystallized ligand’s centroid (padded 8 Å per side to accommodate</w:t>
      </w:r>
      <w:r>
        <w:t xml:space="preserve"> </w:t>
      </w:r>
      <w:r>
        <w:t xml:space="preserve">ligands larger than L04; center (35.34, 36.10, 24.54) Å, size</w:t>
      </w:r>
      <w:r>
        <w:t xml:space="preserve"> </w:t>
      </w:r>
      <w:r>
        <w:t xml:space="preserve">25.7×19.6×21.4 Å). Docking was performed with AutoDock Vina [9,26]</w:t>
      </w:r>
      <w:r>
        <w:t xml:space="preserve"> </w:t>
      </w:r>
      <w:r>
        <w:t xml:space="preserve">(exhaustiveness 32, 9 output poses), matching the settings already</w:t>
      </w:r>
      <w:r>
        <w:t xml:space="preserve"> </w:t>
      </w:r>
      <w:r>
        <w:t xml:space="preserve">validated for the TRPV1 receptor in the group’s docking pipeline. TRPV1</w:t>
      </w:r>
      <w:r>
        <w:t xml:space="preserve"> </w:t>
      </w:r>
      <w:r>
        <w:t xml:space="preserve">reference scores for the same seven ligands were taken from the group’s</w:t>
      </w:r>
      <w:r>
        <w:t xml:space="preserve"> </w:t>
      </w:r>
      <w:r>
        <w:t xml:space="preserve">existing validated docking run against the TRPV1 vanilloid pocket (PDB</w:t>
      </w:r>
      <w:r>
        <w:t xml:space="preserve"> </w:t>
      </w:r>
      <w:r>
        <w:t xml:space="preserve">11CK [22], chains A+D, in complex with 6-iodo-capsaicin; box centered on the</w:t>
      </w:r>
      <w:r>
        <w:t xml:space="preserve"> </w:t>
      </w:r>
      <w:r>
        <w:t xml:space="preserve">inter-subunit vanilloid pocket).</w:t>
      </w:r>
    </w:p>
    <w:p>
      <w:pPr>
        <w:pStyle w:val="BodyText"/>
      </w:pPr>
      <w:r>
        <w:rPr>
          <w:b/>
          <w:bCs/>
        </w:rPr>
        <w:t xml:space="preserve">Docking-protocol validation.</w:t>
      </w:r>
      <w:r>
        <w:t xml:space="preserve"> </w:t>
      </w:r>
      <w:r>
        <w:t xml:space="preserve">Because the TRPV1 pocket-recovery check</w:t>
      </w:r>
      <w:r>
        <w:t xml:space="preserve"> </w:t>
      </w:r>
      <w:r>
        <w:t xml:space="preserve">(Section 2.3) validates fpocket’s cavity</w:t>
      </w:r>
      <w:r>
        <w:t xml:space="preserve"> </w:t>
      </w:r>
      <w:r>
        <w:rPr>
          <w:i/>
          <w:iCs/>
        </w:rPr>
        <w:t xml:space="preserve">detection</w:t>
      </w:r>
      <w:r>
        <w:t xml:space="preserve">, not the separate</w:t>
      </w:r>
      <w:r>
        <w:t xml:space="preserve"> </w:t>
      </w:r>
      <w:r>
        <w:t xml:space="preserve">docking step, and because MMP3 and RARG are structurally unrelated to</w:t>
      </w:r>
      <w:r>
        <w:t xml:space="preserve"> </w:t>
      </w:r>
      <w:r>
        <w:t xml:space="preserve">TRPV1 (a zinc metalloprotease and a nuclear hormone receptor, respectively,</w:t>
      </w:r>
      <w:r>
        <w:t xml:space="preserve"> </w:t>
      </w:r>
      <w:r>
        <w:t xml:space="preserve">vs. an ion channel), the docking protocol itself was validated</w:t>
      </w:r>
      <w:r>
        <w:t xml:space="preserve"> </w:t>
      </w:r>
      <w:r>
        <w:t xml:space="preserve">independently for each: the co-crystallized ligand of each structure (L04</w:t>
      </w:r>
      <w:r>
        <w:t xml:space="preserve"> </w:t>
      </w:r>
      <w:r>
        <w:t xml:space="preserve">for 1HFS; E9T for 6FX0 — both PDB chemical component IDs) was built from</w:t>
      </w:r>
      <w:r>
        <w:t xml:space="preserve"> </w:t>
      </w:r>
      <w:r>
        <w:t xml:space="preserve">its canonical SMILES (RCSB Chemical Component</w:t>
      </w:r>
      <w:r>
        <w:t xml:space="preserve"> </w:t>
      </w:r>
      <w:r>
        <w:t xml:space="preserve">Dictionary) with RDKit — an independently generated conformer, not the</w:t>
      </w:r>
      <w:r>
        <w:t xml:space="preserve"> </w:t>
      </w:r>
      <w:r>
        <w:t xml:space="preserve">crystal coordinates — redocked into its own structure under the box</w:t>
      </w:r>
      <w:r>
        <w:t xml:space="preserve"> </w:t>
      </w:r>
      <w:r>
        <w:t xml:space="preserve">described above, and the best-scoring pose compared to the crystal pose by</w:t>
      </w:r>
      <w:r>
        <w:t xml:space="preserve"> </w:t>
      </w:r>
      <w:r>
        <w:t xml:space="preserve">heavy-atom RMSD after topology matching (</w:t>
      </w:r>
      <w:r>
        <w:rPr>
          <w:rStyle w:val="VerbatimChar"/>
        </w:rPr>
        <w:t xml:space="preserve">docking/validate_redocking.py</w:t>
      </w:r>
      <w:r>
        <w:t xml:space="preserve">,</w:t>
      </w:r>
      <w:r>
        <w:t xml:space="preserve"> </w:t>
      </w:r>
      <w:r>
        <w:t xml:space="preserve">already used for the TRPV1/11CK validation in</w:t>
      </w:r>
      <w:r>
        <w:t xml:space="preserve"> </w:t>
      </w:r>
      <w:r>
        <w:rPr>
          <w:rStyle w:val="VerbatimChar"/>
        </w:rPr>
        <w:t xml:space="preserve">docking/SMOKE_TEST.md</w:t>
      </w:r>
      <w:r>
        <w:t xml:space="preserve">).</w:t>
      </w:r>
      <w:r>
        <w:t xml:space="preserve"> </w:t>
      </w:r>
      <w:r>
        <w:t xml:space="preserve">RMSD results are reported in Section 3.3.</w:t>
      </w:r>
    </w:p>
    <w:bookmarkEnd w:id="14"/>
    <w:bookmarkStart w:id="15" w:name="ground-truth-discrimination-check"/>
    <w:p>
      <w:pPr>
        <w:pStyle w:val="Heading3"/>
      </w:pPr>
      <w:r>
        <w:t xml:space="preserve">2.5 Ground-truth discrimination check</w:t>
      </w:r>
    </w:p>
    <w:p>
      <w:pPr>
        <w:pStyle w:val="FirstParagraph"/>
      </w:pPr>
      <w:r>
        <w:t xml:space="preserve">The cross-receptor comparison in Section 2.4 asks whether known TRPV1</w:t>
      </w:r>
      <w:r>
        <w:t xml:space="preserve"> </w:t>
      </w:r>
      <w:r>
        <w:t xml:space="preserve">agonists score comparably at RARG/MMP3 and at TRPV1 itself; it does not</w:t>
      </w:r>
      <w:r>
        <w:t xml:space="preserve"> </w:t>
      </w:r>
      <w:r>
        <w:t xml:space="preserve">establish that Vina’s scoring function can separate real binders from</w:t>
      </w:r>
      <w:r>
        <w:t xml:space="preserve"> </w:t>
      </w:r>
      <w:r>
        <w:t xml:space="preserve">non-binders at RARG or MMP3</w:t>
      </w:r>
      <w:r>
        <w:t xml:space="preserve"> </w:t>
      </w:r>
      <w:r>
        <w:rPr>
          <w:i/>
          <w:iCs/>
        </w:rPr>
        <w:t xml:space="preserve">at all</w:t>
      </w:r>
      <w:r>
        <w:t xml:space="preserve"> </w:t>
      </w:r>
      <w:r>
        <w:t xml:space="preserve">— a precondition for trusting that</w:t>
      </w:r>
      <w:r>
        <w:t xml:space="preserve"> </w:t>
      </w:r>
      <w:r>
        <w:t xml:space="preserve">absolute cross-receptor comparison. To close this gap, known active</w:t>
      </w:r>
      <w:r>
        <w:t xml:space="preserve"> </w:t>
      </w:r>
      <w:r>
        <w:t xml:space="preserve">(≤1,000 nM) and inactive (&gt;10,000 nM by a measured value, or no binding</w:t>
      </w:r>
      <w:r>
        <w:t xml:space="preserve"> </w:t>
      </w:r>
      <w:r>
        <w:t xml:space="preserve">detected up to ≥10,000 nM) compounds for RARG and MMP3 were retrieved from</w:t>
      </w:r>
      <w:r>
        <w:t xml:space="preserve"> </w:t>
      </w:r>
      <w:r>
        <w:t xml:space="preserve">ChEMBL [23] (target CHEMBL2003 and CHEMBL283, respectively; all activity</w:t>
      </w:r>
      <w:r>
        <w:t xml:space="preserve"> </w:t>
      </w:r>
      <w:r>
        <w:t xml:space="preserve">records with</w:t>
      </w:r>
      <w:r>
        <w:t xml:space="preserve"> </w:t>
      </w:r>
      <w:r>
        <w:rPr>
          <w:rStyle w:val="VerbatimChar"/>
        </w:rPr>
        <w:t xml:space="preserve">standard_type</w:t>
      </w:r>
      <w:r>
        <w:t xml:space="preserve"> </w:t>
      </w:r>
      <w:r>
        <w:t xml:space="preserve">in {IC50, EC50, Ki, Kd} and</w:t>
      </w:r>
      <w:r>
        <w:t xml:space="preserve"> </w:t>
      </w:r>
      <w:r>
        <w:rPr>
          <w:rStyle w:val="VerbatimChar"/>
        </w:rPr>
        <w:t xml:space="preserve">standard_units</w:t>
      </w:r>
      <w:r>
        <w:t xml:space="preserve"> </w:t>
      </w:r>
      <w:r>
        <w:t xml:space="preserve">=</w:t>
      </w:r>
      <w:r>
        <w:t xml:space="preserve"> </w:t>
      </w:r>
      <w:r>
        <w:t xml:space="preserve">nM). For each target, 30 actives spanning the potency range — not simply</w:t>
      </w:r>
      <w:r>
        <w:t xml:space="preserve"> </w:t>
      </w:r>
      <w:r>
        <w:t xml:space="preserve">the most potent — were selected, and 30 inactives were greedy-matched to</w:t>
      </w:r>
      <w:r>
        <w:t xml:space="preserve"> </w:t>
      </w:r>
      <w:r>
        <w:t xml:space="preserve">those actives in standardized (molecular weight, calculated logP) space to</w:t>
      </w:r>
      <w:r>
        <w:t xml:space="preserve"> </w:t>
      </w:r>
      <w:r>
        <w:t xml:space="preserve">avoid a property-driven confound between the active and inactive sets. Each</w:t>
      </w:r>
      <w:r>
        <w:t xml:space="preserve"> </w:t>
      </w:r>
      <w:r>
        <w:t xml:space="preserve">panel was redocked into the same receptor structure and box used in</w:t>
      </w:r>
      <w:r>
        <w:t xml:space="preserve"> </w:t>
      </w:r>
      <w:r>
        <w:t xml:space="preserve">Section 2.4, with the same RDKit/Meeko ligand-preparation pipeline, and</w:t>
      </w:r>
      <w:r>
        <w:t xml:space="preserve"> </w:t>
      </w:r>
      <w:r>
        <w:t xml:space="preserve">ROC-AUC for active/inactive separation by Vina score was computed per</w:t>
      </w:r>
      <w:r>
        <w:t xml:space="preserve"> </w:t>
      </w:r>
      <w:r>
        <w:t xml:space="preserve">target.</w:t>
      </w:r>
    </w:p>
    <w:p>
      <w:pPr>
        <w:pStyle w:val="BodyText"/>
      </w:pPr>
      <w:r>
        <w:t xml:space="preserve">Because MMP3’s cross-docking result depends on retaining the catalytic</w:t>
      </w:r>
      <w:r>
        <w:t xml:space="preserve"> </w:t>
      </w:r>
      <w:r>
        <w:t xml:space="preserve">zinc (Section 2.4), the MMP3 panel was additionally redocked with</w:t>
      </w:r>
      <w:r>
        <w:t xml:space="preserve"> </w:t>
      </w:r>
      <w:r>
        <w:t xml:space="preserve">AutoDock4Zn (AD4Zn) [24], a force field that represents zinc coordination</w:t>
      </w:r>
      <w:r>
        <w:t xml:space="preserve"> </w:t>
      </w:r>
      <w:r>
        <w:t xml:space="preserve">explicitly via directional tetrahedral zinc pseudo-atoms, run through</w:t>
      </w:r>
      <w:r>
        <w:t xml:space="preserve"> </w:t>
      </w:r>
      <w:r>
        <w:t xml:space="preserve">Vina’s AD4-scoring mode (</w:t>
      </w:r>
      <w:r>
        <w:rPr>
          <w:rStyle w:val="VerbatimChar"/>
        </w:rPr>
        <w:t xml:space="preserve">--scoring ad4</w:t>
      </w:r>
      <w:r>
        <w:t xml:space="preserve">) against AutoGrid4-computed</w:t>
      </w:r>
      <w:r>
        <w:t xml:space="preserve"> </w:t>
      </w:r>
      <w:r>
        <w:t xml:space="preserve">affinity maps rather than Vina’s own scoring function. Receptor</w:t>
      </w:r>
      <w:r>
        <w:t xml:space="preserve"> </w:t>
      </w:r>
      <w:r>
        <w:t xml:space="preserve">preparation added zinc pseudo-atoms (</w:t>
      </w:r>
      <w:r>
        <w:rPr>
          <w:rStyle w:val="VerbatimChar"/>
        </w:rPr>
        <w:t xml:space="preserve">zinc_pseudo.py</w:t>
      </w:r>
      <w:r>
        <w:t xml:space="preserve">, distributed with</w:t>
      </w:r>
      <w:r>
        <w:t xml:space="preserve"> </w:t>
      </w:r>
      <w:r>
        <w:t xml:space="preserve">AutoDock-Vina) to the same Zn²⁺/Ca²⁺-retaining receptor used in Section</w:t>
      </w:r>
      <w:r>
        <w:t xml:space="preserve"> </w:t>
      </w:r>
      <w:r>
        <w:t xml:space="preserve">2.4; a lightweight custom script (</w:t>
      </w:r>
      <w:r>
        <w:rPr>
          <w:rStyle w:val="VerbatimChar"/>
        </w:rPr>
        <w:t xml:space="preserve">docking/prepare_gpf4zn_lite.py</w:t>
      </w:r>
      <w:r>
        <w:t xml:space="preserve">) wrote</w:t>
      </w:r>
      <w:r>
        <w:t xml:space="preserve"> </w:t>
      </w:r>
      <w:r>
        <w:t xml:space="preserve">the AutoGrid4 parameter file directly, reproducing the parameters of the</w:t>
      </w:r>
      <w:r>
        <w:t xml:space="preserve"> </w:t>
      </w:r>
      <w:r>
        <w:t xml:space="preserve">worked example in the AutoDock-Vina documentation without the legacy</w:t>
      </w:r>
      <w:r>
        <w:t xml:space="preserve"> </w:t>
      </w:r>
      <w:r>
        <w:t xml:space="preserve">MolKit/AutoDockTools dependency of the reference</w:t>
      </w:r>
      <w:r>
        <w:t xml:space="preserve"> </w:t>
      </w:r>
      <w:r>
        <w:rPr>
          <w:rStyle w:val="VerbatimChar"/>
        </w:rPr>
        <w:t xml:space="preserve">prepare_gpf4zn.py</w:t>
      </w:r>
      <w:r>
        <w:t xml:space="preserve"> </w:t>
      </w:r>
      <w:r>
        <w:t xml:space="preserve">script. Ligands were prepared with macrocyclic rings held rigid</w:t>
      </w:r>
      <w:r>
        <w:t xml:space="preserve"> </w:t>
      </w:r>
      <w:r>
        <w:t xml:space="preserve">(</w:t>
      </w:r>
      <w:r>
        <w:rPr>
          <w:rStyle w:val="VerbatimChar"/>
        </w:rPr>
        <w:t xml:space="preserve">--rigid_macrocycles</w:t>
      </w:r>
      <w:r>
        <w:t xml:space="preserve">), since Vina’s flexible-macrocycle ligand typing</w:t>
      </w:r>
      <w:r>
        <w:t xml:space="preserve"> </w:t>
      </w:r>
      <w:r>
        <w:t xml:space="preserve">introduces synthetic atom types not represented in the classic AD4Zn</w:t>
      </w:r>
      <w:r>
        <w:t xml:space="preserve"> </w:t>
      </w:r>
      <w:r>
        <w:t xml:space="preserve">parameter set.</w:t>
      </w:r>
    </w:p>
    <w:bookmarkEnd w:id="15"/>
    <w:bookmarkStart w:id="16" w:name="Xcec3fe28373d1715e453cdb9488eabcf3ee36c5"/>
    <w:p>
      <w:pPr>
        <w:pStyle w:val="Heading3"/>
      </w:pPr>
      <w:r>
        <w:t xml:space="preserve">2.6 Quantitative check of local pocket similarity within the paralog family</w:t>
      </w:r>
    </w:p>
    <w:p>
      <w:pPr>
        <w:pStyle w:val="FirstParagraph"/>
      </w:pPr>
      <w:r>
        <w:t xml:space="preserve">The claim in Sections 2.1/3.1 — that whole-protein identity is a poor proxy</w:t>
      </w:r>
      <w:r>
        <w:t xml:space="preserve"> </w:t>
      </w:r>
      <w:r>
        <w:t xml:space="preserve">for binding-site-level risk — was initially qualitative and</w:t>
      </w:r>
      <w:r>
        <w:t xml:space="preserve"> </w:t>
      </w:r>
      <w:r>
        <w:t xml:space="preserve">literature-sourced. To test it quantitatively without reproducing the same</w:t>
      </w:r>
      <w:r>
        <w:t xml:space="preserve"> </w:t>
      </w:r>
      <w:r>
        <w:t xml:space="preserve">whole-protein-identity limitation, we compared local representations of the</w:t>
      </w:r>
      <w:r>
        <w:t xml:space="preserve"> </w:t>
      </w:r>
      <w:r>
        <w:t xml:space="preserve">vanilloid-pocket residues themselves using the ESM-2 protein language model</w:t>
      </w:r>
      <w:r>
        <w:t xml:space="preserve"> </w:t>
      </w:r>
      <w:r>
        <w:t xml:space="preserve">[33]. TRPV1’s four pocket-lining residues (Tyr511, Ser512, Thr550, Glu570;</w:t>
      </w:r>
      <w:r>
        <w:t xml:space="preserve"> </w:t>
      </w:r>
      <w:r>
        <w:t xml:space="preserve">confirmed against the canonical UniProt Q8NER1 sequence [7]) were mapped</w:t>
      </w:r>
      <w:r>
        <w:t xml:space="preserve"> </w:t>
      </w:r>
      <w:r>
        <w:t xml:space="preserve">onto the aligned position in each paralog (Q9Y5S1/TRPV2, Q8NET8/TRPV3,</w:t>
      </w:r>
      <w:r>
        <w:t xml:space="preserve"> </w:t>
      </w:r>
      <w:r>
        <w:t xml:space="preserve">Q9HBA0/TRPV4, Q9NQA5/TRPV5, Q9H1D0/TRPV6) by global pairwise alignment</w:t>
      </w:r>
      <w:r>
        <w:t xml:space="preserve"> </w:t>
      </w:r>
      <w:r>
        <w:t xml:space="preserve">(Biopython, BLOSUM62) [34] rather than by raw residue number. All four</w:t>
      </w:r>
      <w:r>
        <w:t xml:space="preserve"> </w:t>
      </w:r>
      <w:r>
        <w:t xml:space="preserve">positions sit in a strongly conserved local motif in every paralog (for</w:t>
      </w:r>
      <w:r>
        <w:t xml:space="preserve"> </w:t>
      </w:r>
      <w:r>
        <w:t xml:space="preserve">example, TRPV1’s T550 window</w:t>
      </w:r>
      <w:r>
        <w:t xml:space="preserve"> </w:t>
      </w:r>
      <w:r>
        <w:rPr>
          <w:rStyle w:val="VerbatimChar"/>
        </w:rPr>
        <w:t xml:space="preserve">LALGW[T]NMLYY</w:t>
      </w:r>
      <w:r>
        <w:t xml:space="preserve"> </w:t>
      </w:r>
      <w:r>
        <w:t xml:space="preserve">versus TRPV4’s</w:t>
      </w:r>
      <w:r>
        <w:t xml:space="preserve"> </w:t>
      </w:r>
      <w:r>
        <w:rPr>
          <w:rStyle w:val="VerbatimChar"/>
        </w:rPr>
        <w:t xml:space="preserve">LVLGW[M]NALYF</w:t>
      </w:r>
      <w:r>
        <w:t xml:space="preserve">), so alignment confidence is high; only TRPV6 has a real</w:t>
      </w:r>
      <w:r>
        <w:t xml:space="preserve"> </w:t>
      </w:r>
      <w:r>
        <w:t xml:space="preserve">gap (no aligned residue for S512). One forward pass of</w:t>
      </w:r>
      <w:r>
        <w:t xml:space="preserve"> </w:t>
      </w:r>
      <w:r>
        <w:rPr>
          <w:rStyle w:val="VerbatimChar"/>
        </w:rPr>
        <w:t xml:space="preserve">esm2_t33_650M_UR50D</w:t>
      </w:r>
      <w:r>
        <w:t xml:space="preserve"> </w:t>
      </w:r>
      <w:r>
        <w:t xml:space="preserve">was run per full-length sequence — so that each</w:t>
      </w:r>
      <w:r>
        <w:t xml:space="preserve"> </w:t>
      </w:r>
      <w:r>
        <w:t xml:space="preserve">residue’s representation carries genuine sequence context rather than a</w:t>
      </w:r>
      <w:r>
        <w:t xml:space="preserve"> </w:t>
      </w:r>
      <w:r>
        <w:t xml:space="preserve">stripped-out peptide fragment — and final-layer per-residue</w:t>
      </w:r>
      <w:r>
        <w:t xml:space="preserve"> </w:t>
      </w:r>
      <w:r>
        <w:t xml:space="preserve">representations were mean-pooled over a ±2-residue window around each of</w:t>
      </w:r>
      <w:r>
        <w:t xml:space="preserve"> </w:t>
      </w:r>
      <w:r>
        <w:t xml:space="preserve">the four positions and concatenated into one local pocket vector per</w:t>
      </w:r>
      <w:r>
        <w:t xml:space="preserve"> </w:t>
      </w:r>
      <w:r>
        <w:t xml:space="preserve">protein. Similarity to TRPV1 was computed as cosine similarity</w:t>
      </w:r>
      <w:r>
        <w:t xml:space="preserve"> </w:t>
      </w:r>
      <w:r>
        <w:rPr>
          <w:b/>
          <w:bCs/>
        </w:rPr>
        <w:t xml:space="preserve">over only</w:t>
      </w:r>
      <w:r>
        <w:rPr>
          <w:b/>
          <w:bCs/>
        </w:rPr>
        <w:t xml:space="preserve"> </w:t>
      </w:r>
      <w:r>
        <w:rPr>
          <w:b/>
          <w:bCs/>
        </w:rPr>
        <w:t xml:space="preserve">those positions aligned in both proteins</w:t>
      </w:r>
      <w:r>
        <w:t xml:space="preserve"> </w:t>
      </w:r>
      <w:r>
        <w:t xml:space="preserve">(TRPV6: 3 of 4; all others: 4 of</w:t>
      </w:r>
      <w:r>
        <w:t xml:space="preserve"> </w:t>
      </w:r>
      <w:r>
        <w:t xml:space="preserve">4). In parallel, and computed the same way, whole-sequence mean-pooled</w:t>
      </w:r>
      <w:r>
        <w:t xml:space="preserve"> </w:t>
      </w:r>
      <w:r>
        <w:t xml:space="preserve">cosine similarity was reported as an explicit negative control predicted</w:t>
      </w:r>
      <w:r>
        <w:t xml:space="preserve"> </w:t>
      </w:r>
      <w:r>
        <w:t xml:space="preserve">not to discriminate.</w:t>
      </w:r>
    </w:p>
    <w:bookmarkEnd w:id="16"/>
    <w:bookmarkEnd w:id="17"/>
    <w:bookmarkStart w:id="23" w:name="results"/>
    <w:p>
      <w:pPr>
        <w:pStyle w:val="Heading2"/>
      </w:pPr>
      <w:r>
        <w:t xml:space="preserve">3. Results</w:t>
      </w:r>
    </w:p>
    <w:bookmarkStart w:id="18" w:name="Xb5dcd32080a823c9dfd5b276f26f7c34f69d99c"/>
    <w:p>
      <w:pPr>
        <w:pStyle w:val="Heading3"/>
      </w:pPr>
      <w:r>
        <w:t xml:space="preserve">3.1 TRPV1 paralog family: binding-site conservation is not predicted by whole-protein identity</w:t>
      </w:r>
    </w:p>
    <w:p>
      <w:pPr>
        <w:pStyle w:val="FirstParagraph"/>
      </w:pPr>
      <w:r>
        <w:t xml:space="preserve">Table 1 summarizes sequence identity to TRPV1 and the associated safety</w:t>
      </w:r>
      <w:r>
        <w:t xml:space="preserve"> </w:t>
      </w:r>
      <w:r>
        <w:t xml:space="preserve">liability for each paralog. Two revisions to a naive identity-ranked</w:t>
      </w:r>
      <w:r>
        <w:t xml:space="preserve"> </w:t>
      </w:r>
      <w:r>
        <w:t xml:space="preserve">reading are notable. First, the vanilloid-pocket region (formed by</w:t>
      </w:r>
      <w:r>
        <w:t xml:space="preserve"> </w:t>
      </w:r>
      <w:r>
        <w:t xml:space="preserve">S3/S4/S4–S5-linker of one subunit and S5/S6 of the neighboring subunit) is</w:t>
      </w:r>
      <w:r>
        <w:t xml:space="preserve"> </w:t>
      </w:r>
      <w:r>
        <w:t xml:space="preserve">reported to be structurally and sequence-wise conserved across TRPV1, TRPV2,</w:t>
      </w:r>
      <w:r>
        <w:t xml:space="preserve"> </w:t>
      </w:r>
      <w:r>
        <w:t xml:space="preserve">and TRPV3 specifically — sufficiently so that this region is</w:t>
      </w:r>
      <w:r>
        <w:t xml:space="preserve"> </w:t>
      </w:r>
      <w:r>
        <w:t xml:space="preserve">experimentally transplantable between orthologs and confers vanilloid</w:t>
      </w:r>
      <w:r>
        <w:t xml:space="preserve"> </w:t>
      </w:r>
      <w:r>
        <w:t xml:space="preserve">sensitivity onto otherwise-insensitive channels [5,10,25]. This implies that</w:t>
      </w:r>
      <w:r>
        <w:t xml:space="preserve"> </w:t>
      </w:r>
      <w:r>
        <w:t xml:space="preserve">TRPV2 and TRPV3’s real off-target pocket risk may exceed what their</w:t>
      </w:r>
      <w:r>
        <w:t xml:space="preserve"> </w:t>
      </w:r>
      <w:r>
        <w:t xml:space="preserve">whole-protein identity (45.0% and 39.0%, respectively) suggests. Second,</w:t>
      </w:r>
      <w:r>
        <w:t xml:space="preserve"> </w:t>
      </w:r>
      <w:r>
        <w:t xml:space="preserve">TRPV4 (41.9% identity) achieves natural selectivity against vanilloids via</w:t>
      </w:r>
      <w:r>
        <w:t xml:space="preserve"> </w:t>
      </w:r>
      <w:r>
        <w:t xml:space="preserve">point substitutions within an overall similar pocket architecture [10],</w:t>
      </w:r>
      <w:r>
        <w:t xml:space="preserve"> </w:t>
      </w:r>
      <w:r>
        <w:t xml:space="preserve">and its clinical antagonist GSK2798745 was tolerated through repeat dosing</w:t>
      </w:r>
      <w:r>
        <w:t xml:space="preserve"> </w:t>
      </w:r>
      <w:r>
        <w:t xml:space="preserve">in patients with stable heart failure (up to 7 days) with no significant</w:t>
      </w:r>
      <w:r>
        <w:t xml:space="preserve"> </w:t>
      </w:r>
      <w:r>
        <w:t xml:space="preserve">safety issues or serious adverse events [11] — despite systemic TRPV4</w:t>
      </w:r>
      <w:r>
        <w:t xml:space="preserve"> </w:t>
      </w:r>
      <w:r>
        <w:rPr>
          <w:i/>
          <w:iCs/>
        </w:rPr>
        <w:t xml:space="preserve">activation</w:t>
      </w:r>
      <w:r>
        <w:t xml:space="preserve"> </w:t>
      </w:r>
      <w:r>
        <w:t xml:space="preserve">separately causing endothelial failure and circulatory</w:t>
      </w:r>
      <w:r>
        <w:t xml:space="preserve"> </w:t>
      </w:r>
      <w:r>
        <w:t xml:space="preserve">collapse in preclinical models [29], indicating the clinically relevant</w:t>
      </w:r>
      <w:r>
        <w:t xml:space="preserve"> </w:t>
      </w:r>
      <w:r>
        <w:t xml:space="preserve">liability is</w:t>
      </w:r>
      <w:r>
        <w:t xml:space="preserve"> </w:t>
      </w:r>
      <w:r>
        <w:t xml:space="preserve">direction-dependent and an antagonist-mediated off-target hit trends</w:t>
      </w:r>
      <w:r>
        <w:t xml:space="preserve"> </w:t>
      </w:r>
      <w:r>
        <w:t xml:space="preserve">protective rather than causative. TRPV5 and TRPV6 (28.4% and 27.2%</w:t>
      </w:r>
      <w:r>
        <w:t xml:space="preserve"> </w:t>
      </w:r>
      <w:r>
        <w:t xml:space="preserve">identity), by contrast, are calcium-selective channels with a distinct</w:t>
      </w:r>
      <w:r>
        <w:t xml:space="preserve"> </w:t>
      </w:r>
      <w:r>
        <w:t xml:space="preserve">pore architecture; their low whole-protein identity plausibly does track</w:t>
      </w:r>
      <w:r>
        <w:t xml:space="preserve"> </w:t>
      </w:r>
      <w:r>
        <w:t xml:space="preserve">real pocket-level divergence. TRPV6 carries the most systemically</w:t>
      </w:r>
      <w:r>
        <w:t xml:space="preserve"> </w:t>
      </w:r>
      <w:r>
        <w:t xml:space="preserve">consequential liability profile if hit off-target: knockout mice show</w:t>
      </w:r>
      <w:r>
        <w:t xml:space="preserve"> </w:t>
      </w:r>
      <w:r>
        <w:t xml:space="preserve">impaired intestinal calcium absorption, reduced bone mineral density,</w:t>
      </w:r>
      <w:r>
        <w:t xml:space="preserve"> </w:t>
      </w:r>
      <w:r>
        <w:t xml:space="preserve">alopecia/dermatitis, and severely impaired male fertility [12].</w:t>
      </w:r>
    </w:p>
    <w:p>
      <w:pPr>
        <w:pStyle w:val="BodyText"/>
      </w:pPr>
      <w:r>
        <w:rPr>
          <w:b/>
          <w:bCs/>
        </w:rPr>
        <w:t xml:space="preserve">Table 1.</w:t>
      </w:r>
      <w:r>
        <w:t xml:space="preserve"> </w:t>
      </w:r>
      <w:r>
        <w:t xml:space="preserve">TRPV1 paralog family: sequence identity and off-target</w:t>
      </w:r>
      <w:r>
        <w:t xml:space="preserve"> </w:t>
      </w:r>
      <w:r>
        <w:t xml:space="preserve">liability.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Paralog</w:t>
            </w:r>
          </w:p>
        </w:tc>
        <w:tc>
          <w:tcPr/>
          <w:p>
            <w:pPr>
              <w:pStyle w:val="Compact"/>
            </w:pPr>
            <w:r>
              <w:t xml:space="preserve">Identity to TRPV1</w:t>
            </w:r>
          </w:p>
        </w:tc>
        <w:tc>
          <w:tcPr/>
          <w:p>
            <w:pPr>
              <w:pStyle w:val="Compact"/>
            </w:pPr>
            <w:r>
              <w:t xml:space="preserve">Liability if hit off-target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TRPV2</w:t>
            </w:r>
          </w:p>
        </w:tc>
        <w:tc>
          <w:tcPr/>
          <w:p>
            <w:pPr>
              <w:pStyle w:val="Compact"/>
            </w:pPr>
            <w:r>
              <w:t xml:space="preserve">45.0%</w:t>
            </w:r>
          </w:p>
        </w:tc>
        <w:tc>
          <w:tcPr/>
          <w:p>
            <w:pPr>
              <w:pStyle w:val="Compact"/>
            </w:pPr>
            <w:r>
              <w:t xml:space="preserve">Developmental cardiac Ca²⁺-handling role; adult whole-body knockout and neutralizing-antibody dosing show no overt phenotype [13,14].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TRPV4</w:t>
            </w:r>
          </w:p>
        </w:tc>
        <w:tc>
          <w:tcPr/>
          <w:p>
            <w:pPr>
              <w:pStyle w:val="Compact"/>
            </w:pPr>
            <w:r>
              <w:t xml:space="preserve">41.9%</w:t>
            </w:r>
          </w:p>
        </w:tc>
        <w:tc>
          <w:tcPr/>
          <w:p>
            <w:pPr>
              <w:pStyle w:val="Compact"/>
            </w:pPr>
            <w:r>
              <w:t xml:space="preserve">Direction-dependent: systemic activation causes endothelial failure and circulatory collapse in preclinical models [29], whereas the clinical antagonist (GSK2798745) was tolerated in a first-time-in-human study with no significant safety issues or serious adverse events in healthy volunteers and patients with stable heart failure (dosing up to 7 days) [11].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TRPV3</w:t>
            </w:r>
          </w:p>
        </w:tc>
        <w:tc>
          <w:tcPr/>
          <w:p>
            <w:pPr>
              <w:pStyle w:val="Compact"/>
            </w:pPr>
            <w:r>
              <w:t xml:space="preserve">39.0%</w:t>
            </w:r>
          </w:p>
        </w:tc>
        <w:tc>
          <w:tcPr/>
          <w:p>
            <w:pPr>
              <w:pStyle w:val="Compact"/>
            </w:pPr>
            <w:r>
              <w:t xml:space="preserve">Shares TRPV1’s topical site of action; human gain-of-function mutations cause Olmsted syndrome (painful keratoderma, pruritus, skin-barrier failure) [15].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TRPV5</w:t>
            </w:r>
          </w:p>
        </w:tc>
        <w:tc>
          <w:tcPr/>
          <w:p>
            <w:pPr>
              <w:pStyle w:val="Compact"/>
            </w:pPr>
            <w:r>
              <w:t xml:space="preserve">28.4%</w:t>
            </w:r>
          </w:p>
        </w:tc>
        <w:tc>
          <w:tcPr/>
          <w:p>
            <w:pPr>
              <w:pStyle w:val="Compact"/>
            </w:pPr>
            <w:r>
              <w:t xml:space="preserve">Rate-limiting channel for renal distal-tubule Ca²⁺ reabsorption: knockout mice show urinary Ca²⁺ wasting, compensatory intestinal hyperabsorption, and reduced bone thickness [28]; plausible hypercalciuria risk if inhibited.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TRPV6</w:t>
            </w:r>
          </w:p>
        </w:tc>
        <w:tc>
          <w:tcPr/>
          <w:p>
            <w:pPr>
              <w:pStyle w:val="Compact"/>
            </w:pPr>
            <w:r>
              <w:t xml:space="preserve">27.2%</w:t>
            </w:r>
          </w:p>
        </w:tc>
        <w:tc>
          <w:tcPr/>
          <w:p>
            <w:pPr>
              <w:pStyle w:val="Compact"/>
            </w:pPr>
            <w:r>
              <w:t xml:space="preserve">Most consequential paralog: knockout shows impaired intestinal Ca²⁺ absorption, reduced bone mineral density, alopecia/dermatitis, severe male infertility [12].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TRPA1</w:t>
            </w:r>
          </w:p>
        </w:tc>
        <w:tc>
          <w:tcPr/>
          <w:p>
            <w:pPr>
              <w:pStyle w:val="Compact"/>
            </w:pPr>
            <w:r>
              <w:t xml:space="preserve">n/a (not a sequence paralog)</w:t>
            </w:r>
          </w:p>
        </w:tc>
        <w:tc>
          <w:tcPr/>
          <w:p>
            <w:pPr>
              <w:pStyle w:val="Compact"/>
            </w:pPr>
            <w:r>
              <w:t xml:space="preserve">The selective antagonist LY3526318 was tested in three randomized placebo-controlled proof-of-concept studies (knee osteoarthritis pain, chronic low back pain, diabetic peripheral neuropathic pain): the primary endpoint was not met in any (numerical improvement only in chronic low back pain), and a potential drug-induced hepatotoxic effect was identified, posing a risk for clinical development [16].</w:t>
            </w:r>
          </w:p>
        </w:tc>
      </w:tr>
    </w:tbl>
    <w:bookmarkEnd w:id="18"/>
    <w:bookmarkStart w:id="19" w:name="X29360f03c8e8c30baf94344ce63396f07cc08e9"/>
    <w:p>
      <w:pPr>
        <w:pStyle w:val="Heading3"/>
      </w:pPr>
      <w:r>
        <w:t xml:space="preserve">3.2 Structure-based screen identifies three off-target candidates outside the TRPV/TRPA family</w:t>
      </w:r>
    </w:p>
    <w:p>
      <w:pPr>
        <w:pStyle w:val="FirstParagraph"/>
      </w:pPr>
      <w:r>
        <w:t xml:space="preserve">Candidate numbers moved through the pipeline as follows:</w:t>
      </w:r>
      <w:r>
        <w:t xml:space="preserve"> </w:t>
      </w:r>
      <w:r>
        <w:rPr>
          <w:b/>
          <w:bCs/>
        </w:rPr>
        <w:t xml:space="preserve">604</w:t>
      </w:r>
      <w:r>
        <w:t xml:space="preserve"> </w:t>
      </w:r>
      <w:r>
        <w:t xml:space="preserve">skin</w:t>
      </w:r>
      <w:r>
        <w:t xml:space="preserve"> </w:t>
      </w:r>
      <w:r>
        <w:t xml:space="preserve">tissue-specific genes were identified by expression filtering;</w:t>
      </w:r>
      <w:r>
        <w:t xml:space="preserve"> </w:t>
      </w:r>
      <w:r>
        <w:rPr>
          <w:b/>
          <w:bCs/>
        </w:rPr>
        <w:t xml:space="preserve">486</w:t>
      </w:r>
      <w:r>
        <w:t xml:space="preserve"> </w:t>
      </w:r>
      <w:r>
        <w:t xml:space="preserve">of</w:t>
      </w:r>
      <w:r>
        <w:t xml:space="preserve"> </w:t>
      </w:r>
      <w:r>
        <w:t xml:space="preserve">these had no Open Targets target-class annotation and were excluded as</w:t>
      </w:r>
      <w:r>
        <w:t xml:space="preserve"> </w:t>
      </w:r>
      <w:r>
        <w:t xml:space="preserve">predominantly structural/barrier proteins without a pharmacological pocket,</w:t>
      </w:r>
      <w:r>
        <w:t xml:space="preserve"> </w:t>
      </w:r>
      <w:r>
        <w:t xml:space="preserve">leaving</w:t>
      </w:r>
      <w:r>
        <w:t xml:space="preserve"> </w:t>
      </w:r>
      <w:r>
        <w:rPr>
          <w:b/>
          <w:bCs/>
        </w:rPr>
        <w:t xml:space="preserve">118</w:t>
      </w:r>
      <w:r>
        <w:t xml:space="preserve">; of these,</w:t>
      </w:r>
      <w:r>
        <w:t xml:space="preserve"> </w:t>
      </w:r>
      <w:r>
        <w:rPr>
          <w:b/>
          <w:bCs/>
        </w:rPr>
        <w:t xml:space="preserve">26</w:t>
      </w:r>
      <w:r>
        <w:t xml:space="preserve"> </w:t>
      </w:r>
      <w:r>
        <w:t xml:space="preserve">genes had confirmed ligand-binding-pocket</w:t>
      </w:r>
      <w:r>
        <w:t xml:space="preserve"> </w:t>
      </w:r>
      <w:r>
        <w:t xml:space="preserve">evidence (the highest-confidence tier) and were carried forward to pocket</w:t>
      </w:r>
      <w:r>
        <w:t xml:space="preserve"> </w:t>
      </w:r>
      <w:r>
        <w:t xml:space="preserve">comparison; cross-referencing two independent ranking methods with known</w:t>
      </w:r>
      <w:r>
        <w:t xml:space="preserve"> </w:t>
      </w:r>
      <w:r>
        <w:t xml:space="preserve">biology (below) narrowed this to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flagged candidates (Figure 1,</w:t>
      </w:r>
      <w:r>
        <w:t xml:space="preserve"> </w:t>
      </w:r>
      <w:r>
        <w:rPr>
          <w:rStyle w:val="VerbatimChar"/>
        </w:rPr>
        <w:t xml:space="preserve">figures/pipeline_funnel.png</w:t>
      </w:r>
      <w:r>
        <w:t xml:space="preserve">).</w:t>
      </w:r>
    </w:p>
    <w:p>
      <w:pPr>
        <w:pStyle w:val="BodyText"/>
      </w:pPr>
      <w:r>
        <w:t xml:space="preserve">Candidate selection used two distinct, explicitly separated mechanisms</w:t>
      </w:r>
      <w:r>
        <w:t xml:space="preserve"> </w:t>
      </w:r>
      <w:r>
        <w:t xml:space="preserve">rather than a single ranking, and neither was informed by the downstream</w:t>
      </w:r>
      <w:r>
        <w:t xml:space="preserve"> </w:t>
      </w:r>
      <w:r>
        <w:t xml:space="preserve">docking result in Section 3.3/3.4 — both were fixed before any docking was</w:t>
      </w:r>
      <w:r>
        <w:t xml:space="preserve"> </w:t>
      </w:r>
      <w:r>
        <w:t xml:space="preserve">run. The first is purely computational: three genes — MMP3, NTF4, and</w:t>
      </w:r>
      <w:r>
        <w:t xml:space="preserve"> </w:t>
      </w:r>
      <w:r>
        <w:t xml:space="preserve">BLMH — ranked near the top independent of</w:t>
      </w:r>
      <w:r>
        <w:t xml:space="preserve"> </w:t>
      </w:r>
      <w:r>
        <w:t xml:space="preserve">which of the two comparison methods (best pocket anywhere vs. fpocket’s own</w:t>
      </w:r>
      <w:r>
        <w:t xml:space="preserve"> </w:t>
      </w:r>
      <w:r>
        <w:t xml:space="preserve">top-ranked pocket) was used. Each flagged candidate was checked against</w:t>
      </w:r>
      <w:r>
        <w:t xml:space="preserve"> </w:t>
      </w:r>
      <w:r>
        <w:t xml:space="preserve">known biology to distinguish a genuine small-molecule pocket from a likely</w:t>
      </w:r>
      <w:r>
        <w:t xml:space="preserve"> </w:t>
      </w:r>
      <w:r>
        <w:t xml:space="preserve">detection artifact (e.g., a protein–protein interaction surface or a</w:t>
      </w:r>
      <w:r>
        <w:t xml:space="preserve"> </w:t>
      </w:r>
      <w:r>
        <w:t xml:space="preserve">serpin’s conformational groove, neither of which functions via classical</w:t>
      </w:r>
      <w:r>
        <w:t xml:space="preserve"> </w:t>
      </w:r>
      <w:r>
        <w:t xml:space="preserve">small-molecule occupancy). MMP3 (stromelysin-1) presents a real,</w:t>
      </w:r>
      <w:r>
        <w:t xml:space="preserve"> </w:t>
      </w:r>
      <w:r>
        <w:t xml:space="preserve">high-druggability (0.839), hydrophobic zinc-dependent catalytic pocket and</w:t>
      </w:r>
      <w:r>
        <w:t xml:space="preserve"> </w:t>
      </w:r>
      <w:r>
        <w:t xml:space="preserve">is independently implicated in cutaneous extracellular-matrix remodeling.</w:t>
      </w:r>
      <w:r>
        <w:t xml:space="preserve"> </w:t>
      </w:r>
      <w:r>
        <w:t xml:space="preserve">The second mechanism is biology-informed prioritization, applied to the</w:t>
      </w:r>
      <w:r>
        <w:t xml:space="preserve"> </w:t>
      </w:r>
      <w:r>
        <w:t xml:space="preserve">full 26-gene shortlist rather than only the computational top-3: RARG did</w:t>
      </w:r>
      <w:r>
        <w:t xml:space="preserve"> </w:t>
      </w:r>
      <w:r>
        <w:t xml:space="preserve">not lead either individual pocket-similarity ranking by distance (its</w:t>
      </w:r>
      <w:r>
        <w:t xml:space="preserve"> </w:t>
      </w:r>
      <w:r>
        <w:t xml:space="preserve">pocket volume exceeds TRPV1’s, which penalizes a Euclidean-distance</w:t>
      </w:r>
      <w:r>
        <w:t xml:space="preserve"> </w:t>
      </w:r>
      <w:r>
        <w:t xml:space="preserve">metric), but carries near-maximal druggability (0.982) and high cosine</w:t>
      </w:r>
      <w:r>
        <w:t xml:space="preserve"> </w:t>
      </w:r>
      <w:r>
        <w:t xml:space="preserve">similarity (0.899), and was promoted on the independent biological grounds</w:t>
      </w:r>
      <w:r>
        <w:t xml:space="preserve"> </w:t>
      </w:r>
      <w:r>
        <w:t xml:space="preserve">below — fixed criteria (an approved topical drug already occupying the</w:t>
      </w:r>
      <w:r>
        <w:t xml:space="preserve"> </w:t>
      </w:r>
      <w:r>
        <w:t xml:space="preserve">candidate pocket at the same anatomical site) applied prospectively to the</w:t>
      </w:r>
      <w:r>
        <w:t xml:space="preserve"> </w:t>
      </w:r>
      <w:r>
        <w:t xml:space="preserve">shortlist, not selected after seeing a favorable docking result. Its clinical relevance is</w:t>
      </w:r>
      <w:r>
        <w:t xml:space="preserve"> </w:t>
      </w:r>
      <w:r>
        <w:t xml:space="preserve">strongly supported by the structure used for this comparison itself: PDB</w:t>
      </w:r>
      <w:r>
        <w:t xml:space="preserve"> </w:t>
      </w:r>
      <w:r>
        <w:t xml:space="preserve">6FX0 is the RARγ-bound structure from the medicinal-chemistry campaign that</w:t>
      </w:r>
      <w:r>
        <w:t xml:space="preserve"> </w:t>
      </w:r>
      <w:r>
        <w:t xml:space="preserve">produced trifarotene (CD5789), a RARγ-selective topical retinoid approved</w:t>
      </w:r>
      <w:r>
        <w:t xml:space="preserve"> </w:t>
      </w:r>
      <w:r>
        <w:t xml:space="preserve">for acne [19], and the co-crystallized ligand (PDB chemical component</w:t>
      </w:r>
      <w:r>
        <w:t xml:space="preserve"> </w:t>
      </w:r>
      <w:r>
        <w:t xml:space="preserve">E9T) shares trifarotene’s adamantyl-naphthoic-acid scaffold. Tazarotene, an</w:t>
      </w:r>
      <w:r>
        <w:t xml:space="preserve"> </w:t>
      </w:r>
      <w:r>
        <w:t xml:space="preserve">older, topically applied RARβ/γ-modulating prodrug approved for psoriasis</w:t>
      </w:r>
      <w:r>
        <w:t xml:space="preserve"> </w:t>
      </w:r>
      <w:r>
        <w:t xml:space="preserve">and acne, is a second, less receptor-selective precedent for the same</w:t>
      </w:r>
      <w:r>
        <w:t xml:space="preserve"> </w:t>
      </w:r>
      <w:r>
        <w:t xml:space="preserve">point [20]. Together these indicate that a small molecule occupying RARG’s</w:t>
      </w:r>
      <w:r>
        <w:t xml:space="preserve"> </w:t>
      </w:r>
      <w:r>
        <w:t xml:space="preserve">retinoid pocket at this anatomical site is not a purely theoretical</w:t>
      </w:r>
      <w:r>
        <w:t xml:space="preserve"> </w:t>
      </w:r>
      <w:r>
        <w:t xml:space="preserve">scenario — it is the mechanism of at least one approved topical drug — though</w:t>
      </w:r>
      <w:r>
        <w:t xml:space="preserve"> </w:t>
      </w:r>
      <w:r>
        <w:t xml:space="preserve">this says nothing about whether our specific candidate ligands would bind,</w:t>
      </w:r>
      <w:r>
        <w:t xml:space="preserve"> </w:t>
      </w:r>
      <w:r>
        <w:t xml:space="preserve">nor about the functional consequence (agonism, antagonism, or no effect) if</w:t>
      </w:r>
      <w:r>
        <w:t xml:space="preserve"> </w:t>
      </w:r>
      <w:r>
        <w:t xml:space="preserve">they did. BLMH (bleomycin hydrolase) is independently notable</w:t>
      </w:r>
      <w:r>
        <w:t xml:space="preserve"> </w:t>
      </w:r>
      <w:r>
        <w:t xml:space="preserve">because bleomycin does cause a well-described skin-specific toxicity</w:t>
      </w:r>
      <w:r>
        <w:t xml:space="preserve"> </w:t>
      </w:r>
      <w:r>
        <w:t xml:space="preserve">(flagellate erythema/dermatitis) [32], and low activity of the inactivating</w:t>
      </w:r>
      <w:r>
        <w:t xml:space="preserve"> </w:t>
      </w:r>
      <w:r>
        <w:t xml:space="preserve">hydrolase in skin and lung has historically been proposed as a hypothetical</w:t>
      </w:r>
      <w:r>
        <w:t xml:space="preserve"> </w:t>
      </w:r>
      <w:r>
        <w:t xml:space="preserve">explanation for that tissue selectivity [31]. We note that this link</w:t>
      </w:r>
      <w:r>
        <w:t xml:space="preserve"> </w:t>
      </w:r>
      <w:r>
        <w:t xml:space="preserve">remains a hypothesis rather than an established mechanism: there is no</w:t>
      </w:r>
      <w:r>
        <w:t xml:space="preserve"> </w:t>
      </w:r>
      <w:r>
        <w:t xml:space="preserve">direct evidence that small-molecule modulation of BLMH reproduces this</w:t>
      </w:r>
      <w:r>
        <w:t xml:space="preserve"> </w:t>
      </w:r>
      <w:r>
        <w:t xml:space="preserve">toxicity.</w:t>
      </w:r>
      <w:r>
        <w:t xml:space="preserve"> </w:t>
      </w:r>
      <w:r>
        <w:t xml:space="preserve">NTF4 (a secreted TrkB ligand, more likely to present a protein–protein</w:t>
      </w:r>
      <w:r>
        <w:t xml:space="preserve"> </w:t>
      </w:r>
      <w:r>
        <w:t xml:space="preserve">interface than a small-molecule pocket) and SERPINB5 (a serpin, whose</w:t>
      </w:r>
      <w:r>
        <w:t xml:space="preserve"> </w:t>
      </w:r>
      <w:r>
        <w:t xml:space="preserve">near-maximal druggability score is inconsistent with its</w:t>
      </w:r>
      <w:r>
        <w:t xml:space="preserve"> </w:t>
      </w:r>
      <w:r>
        <w:t xml:space="preserve">reactive-center-loop mechanism of action) were deprioritized as probable</w:t>
      </w:r>
      <w:r>
        <w:t xml:space="preserve"> </w:t>
      </w:r>
      <w:r>
        <w:t xml:space="preserve">detection artifacts.</w:t>
      </w:r>
    </w:p>
    <w:bookmarkEnd w:id="19"/>
    <w:bookmarkStart w:id="20" w:name="X5194773fac29fdfcf635d3770beca1cd4a2fee4"/>
    <w:p>
      <w:pPr>
        <w:pStyle w:val="Heading3"/>
      </w:pPr>
      <w:r>
        <w:t xml:space="preserve">3.3 Cross-docking supports the RARG hypothesis</w:t>
      </w:r>
    </w:p>
    <w:p>
      <w:pPr>
        <w:pStyle w:val="FirstParagraph"/>
      </w:pPr>
      <w:r>
        <w:t xml:space="preserve">Redocking each structure’s own co-crystallized ligand (built from SMILES,</w:t>
      </w:r>
      <w:r>
        <w:t xml:space="preserve"> </w:t>
      </w:r>
      <w:r>
        <w:t xml:space="preserve">not crystal coordinates) reproduced its crystal pose with heavy-atom RMSD</w:t>
      </w:r>
      <w:r>
        <w:t xml:space="preserve"> </w:t>
      </w:r>
      <w:r>
        <w:t xml:space="preserve">1.42 Å for RARG/E9T and 2.10 Å for MMP3/L04 — RARG cleanly passes the</w:t>
      </w:r>
      <w:r>
        <w:t xml:space="preserve"> </w:t>
      </w:r>
      <w:r>
        <w:t xml:space="preserve">conventional &lt;2 Å bar for a validated redocking protocol; MMP3’s result</w:t>
      </w:r>
      <w:r>
        <w:t xml:space="preserve"> </w:t>
      </w:r>
      <w:r>
        <w:t xml:space="preserve">sits just outside it, plausibly reflecting L04’s greater conformational</w:t>
      </w:r>
      <w:r>
        <w:t xml:space="preserve"> </w:t>
      </w:r>
      <w:r>
        <w:t xml:space="preserve">flexibility relative to the more rigid, compact E9T. We read this as</w:t>
      </w:r>
      <w:r>
        <w:t xml:space="preserve"> </w:t>
      </w:r>
      <w:r>
        <w:t xml:space="preserve">“the</w:t>
      </w:r>
      <w:r>
        <w:t xml:space="preserve"> </w:t>
      </w:r>
      <w:r>
        <w:t xml:space="preserve">protocol broadly reproduces the correct binding mode for MMP3, with</w:t>
      </w:r>
      <w:r>
        <w:t xml:space="preserve"> </w:t>
      </w:r>
      <w:r>
        <w:t xml:space="preserve">non-trivial residual pose uncertainty,”</w:t>
      </w:r>
      <w:r>
        <w:t xml:space="preserve"> </w:t>
      </w:r>
      <w:r>
        <w:t xml:space="preserve">and weight the MMP3 cross-docking</w:t>
      </w:r>
      <w:r>
        <w:t xml:space="preserve"> </w:t>
      </w:r>
      <w:r>
        <w:t xml:space="preserve">results below accordingly (lower confidence than the RARG results).</w:t>
      </w:r>
    </w:p>
    <w:p>
      <w:pPr>
        <w:pStyle w:val="BodyText"/>
      </w:pPr>
      <w:r>
        <w:t xml:space="preserve">Table 2 reports docking scores for the seven-ligand TRPV1 reference series</w:t>
      </w:r>
      <w:r>
        <w:t xml:space="preserve"> </w:t>
      </w:r>
      <w:r>
        <w:t xml:space="preserve">against TRPV1, MMP3, and RARG.</w:t>
      </w:r>
    </w:p>
    <w:p>
      <w:pPr>
        <w:pStyle w:val="BodyText"/>
      </w:pPr>
      <w:r>
        <w:rPr>
          <w:b/>
          <w:bCs/>
        </w:rPr>
        <w:t xml:space="preserve">Table 2.</w:t>
      </w:r>
      <w:r>
        <w:t xml:space="preserve"> </w:t>
      </w:r>
      <w:r>
        <w:t xml:space="preserve">Vina docking scores (kcal/mol; more negative indicates a more</w:t>
      </w:r>
      <w:r>
        <w:t xml:space="preserve"> </w:t>
      </w:r>
      <w:r>
        <w:t xml:space="preserve">favorable predicted pose). Bold values are numerically equal to or more</w:t>
      </w:r>
      <w:r>
        <w:t xml:space="preserve"> </w:t>
      </w:r>
      <w:r>
        <w:t xml:space="preserve">favorable than the ligand’s own score against TRPV1. Differences smaller</w:t>
      </w:r>
      <w:r>
        <w:t xml:space="preserve"> </w:t>
      </w:r>
      <w:r>
        <w:t xml:space="preserve">than roughly 1 kcal/mol are within Vina’s typical scoring uncertainty and</w:t>
      </w:r>
      <w:r>
        <w:t xml:space="preserve"> </w:t>
      </w:r>
      <w:r>
        <w:t xml:space="preserve">should not, on their own, be read as evidence of stronger binding —</w:t>
      </w:r>
      <w:r>
        <w:t xml:space="preserve"> </w:t>
      </w:r>
      <w:r>
        <w:t xml:space="preserve">absolute cross-receptor score comparisons are inherently less reliable</w:t>
      </w:r>
      <w:r>
        <w:t xml:space="preserve"> </w:t>
      </w:r>
      <w:r>
        <w:t xml:space="preserve">than the single-receptor pose ranking the method was designed for.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Ligand</w:t>
            </w:r>
          </w:p>
        </w:tc>
        <w:tc>
          <w:tcPr/>
          <w:p>
            <w:pPr>
              <w:pStyle w:val="Compact"/>
            </w:pPr>
            <w:r>
              <w:t xml:space="preserve">TRPV1 EC50 (nM)</w:t>
            </w:r>
          </w:p>
        </w:tc>
        <w:tc>
          <w:tcPr/>
          <w:p>
            <w:pPr>
              <w:pStyle w:val="Compact"/>
            </w:pPr>
            <w:r>
              <w:t xml:space="preserve">TRPV1</w:t>
            </w:r>
          </w:p>
        </w:tc>
        <w:tc>
          <w:tcPr/>
          <w:p>
            <w:pPr>
              <w:pStyle w:val="Compact"/>
            </w:pPr>
            <w:r>
              <w:t xml:space="preserve">MMP3 (holo)</w:t>
            </w:r>
          </w:p>
        </w:tc>
        <w:tc>
          <w:tcPr/>
          <w:p>
            <w:pPr>
              <w:pStyle w:val="Compact"/>
            </w:pPr>
            <w:r>
              <w:t xml:space="preserve">RARG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Resiniferatoxin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−9.63</w:t>
            </w:r>
          </w:p>
        </w:tc>
        <w:tc>
          <w:tcPr/>
          <w:p>
            <w:pPr>
              <w:pStyle w:val="Compact"/>
            </w:pPr>
            <w:r>
              <w:t xml:space="preserve">−9.21</w:t>
            </w:r>
          </w:p>
        </w:tc>
        <w:tc>
          <w:tcPr/>
          <w:p>
            <w:pPr>
              <w:pStyle w:val="Compact"/>
            </w:pPr>
            <w:r>
              <w:t xml:space="preserve">−2.86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Phenylacetylrinvanil</w:t>
            </w:r>
          </w:p>
        </w:tc>
        <w:tc>
          <w:tcPr/>
          <w:p>
            <w:pPr>
              <w:pStyle w:val="Compact"/>
            </w:pPr>
            <w:r>
              <w:t xml:space="preserve">0.09</w:t>
            </w:r>
          </w:p>
        </w:tc>
        <w:tc>
          <w:tcPr/>
          <w:p>
            <w:pPr>
              <w:pStyle w:val="Compact"/>
            </w:pPr>
            <w:r>
              <w:t xml:space="preserve">−8.01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−8.13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−8.98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Olvanil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−7.49</w:t>
            </w:r>
          </w:p>
        </w:tc>
        <w:tc>
          <w:tcPr/>
          <w:p>
            <w:pPr>
              <w:pStyle w:val="Compact"/>
            </w:pPr>
            <w:r>
              <w:t xml:space="preserve">−7.46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−8.73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Arvanil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−7.83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−8.37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−9.17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Rinvanil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−7.51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−7.64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−8.60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Capsaicin</w:t>
            </w:r>
          </w:p>
        </w:tc>
        <w:tc>
          <w:tcPr/>
          <w:p>
            <w:pPr>
              <w:pStyle w:val="Compact"/>
            </w:pPr>
            <w:r>
              <w:t xml:space="preserve">712.0</w:t>
            </w:r>
          </w:p>
        </w:tc>
        <w:tc>
          <w:tcPr/>
          <w:p>
            <w:pPr>
              <w:pStyle w:val="Compact"/>
            </w:pPr>
            <w:r>
              <w:t xml:space="preserve">−8.23</w:t>
            </w:r>
          </w:p>
        </w:tc>
        <w:tc>
          <w:tcPr/>
          <w:p>
            <w:pPr>
              <w:pStyle w:val="Compact"/>
            </w:pPr>
            <w:r>
              <w:t xml:space="preserve">−8.02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−8.59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Nonivamide</w:t>
            </w:r>
          </w:p>
        </w:tc>
        <w:tc>
          <w:tcPr/>
          <w:p>
            <w:pPr>
              <w:pStyle w:val="Compact"/>
            </w:pPr>
            <w:r>
              <w:t xml:space="preserve">1400.0</w:t>
            </w:r>
          </w:p>
        </w:tc>
        <w:tc>
          <w:tcPr/>
          <w:p>
            <w:pPr>
              <w:pStyle w:val="Compact"/>
            </w:pPr>
            <w:r>
              <w:t xml:space="preserve">−7.60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−7.96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−7.97</w:t>
            </w:r>
          </w:p>
        </w:tc>
      </w:tr>
    </w:tbl>
    <w:p>
      <w:pPr>
        <w:pStyle w:val="BodyText"/>
      </w:pPr>
      <w:r>
        <w:t xml:space="preserve">For six of the seven ligands, the docking score against RARG was</w:t>
      </w:r>
      <w:r>
        <w:t xml:space="preserve"> </w:t>
      </w:r>
      <w:r>
        <w:t xml:space="preserve">numerically equal to or somewhat more favorable than the score against</w:t>
      </w:r>
      <w:r>
        <w:t xml:space="preserve"> </w:t>
      </w:r>
      <w:r>
        <w:t xml:space="preserve">TRPV1 itself (nonivamide’s −7.97 vs. −7.60, a 0.37 kcal/mol difference,</w:t>
      </w:r>
      <w:r>
        <w:t xml:space="preserve"> </w:t>
      </w:r>
      <w:r>
        <w:t xml:space="preserve">falls inside that scoring-uncertainty band and should be read as</w:t>
      </w:r>
      <w:r>
        <w:t xml:space="preserve"> </w:t>
      </w:r>
      <w:r>
        <w:t xml:space="preserve">“similar,”</w:t>
      </w:r>
      <w:r>
        <w:t xml:space="preserve"> </w:t>
      </w:r>
      <w:r>
        <w:t xml:space="preserve">not</w:t>
      </w:r>
      <w:r>
        <w:t xml:space="preserve"> </w:t>
      </w:r>
      <w:r>
        <w:t xml:space="preserve">“better”</w:t>
      </w:r>
      <w:r>
        <w:t xml:space="preserve">); only resiniferatoxin, the bulkiest and structurally most</w:t>
      </w:r>
      <w:r>
        <w:t xml:space="preserve"> </w:t>
      </w:r>
      <w:r>
        <w:t xml:space="preserve">complex ligand (a diterpene), scored poorly. Applied without modification</w:t>
      </w:r>
      <w:r>
        <w:t xml:space="preserve"> </w:t>
      </w:r>
      <w:r>
        <w:t xml:space="preserve">to an unrelated protein fold, the docking scoring function ranks most of</w:t>
      </w:r>
      <w:r>
        <w:t xml:space="preserve"> </w:t>
      </w:r>
      <w:r>
        <w:t xml:space="preserve">this chemical series as comparably complementary to RARG’s retinoid pocket</w:t>
      </w:r>
      <w:r>
        <w:t xml:space="preserve"> </w:t>
      </w:r>
      <w:r>
        <w:t xml:space="preserve">and to TRPV1’s own vanilloid pocket. We read this as computational support</w:t>
      </w:r>
      <w:r>
        <w:t xml:space="preserve"> </w:t>
      </w:r>
      <w:r>
        <w:t xml:space="preserve">for — not confirmation of, and not a mere restatement of — the</w:t>
      </w:r>
      <w:r>
        <w:t xml:space="preserve"> </w:t>
      </w:r>
      <w:r>
        <w:t xml:space="preserve">pocket-similarity hypothesis from Section 3.2, and as sufficient grounds to</w:t>
      </w:r>
      <w:r>
        <w:t xml:space="preserve"> </w:t>
      </w:r>
      <w:r>
        <w:t xml:space="preserve">prioritize an experimental RARG counter-screen.</w:t>
      </w:r>
    </w:p>
    <w:p>
      <w:pPr>
        <w:pStyle w:val="BodyText"/>
      </w:pPr>
      <w:r>
        <w:t xml:space="preserve">The corrected, Zn²⁺/Ca²⁺-retaining MMP3 receptor changed this picture</w:t>
      </w:r>
      <w:r>
        <w:t xml:space="preserve"> </w:t>
      </w:r>
      <w:r>
        <w:t xml:space="preserve">substantially from an earlier pass against an apo (metal-stripped) receptor</w:t>
      </w:r>
      <w:r>
        <w:t xml:space="preserve"> </w:t>
      </w:r>
      <w:r>
        <w:t xml:space="preserve">(not reported here in detail): rather than a signal confined to the two</w:t>
      </w:r>
      <w:r>
        <w:t xml:space="preserve"> </w:t>
      </w:r>
      <w:r>
        <w:t xml:space="preserve">smallest ligands, four of seven ligands now score equal to or more</w:t>
      </w:r>
      <w:r>
        <w:t xml:space="preserve"> </w:t>
      </w:r>
      <w:r>
        <w:t xml:space="preserve">favorable than their TRPV1 score (phenylacetylrinvanil, arvanil, rinvanil,</w:t>
      </w:r>
      <w:r>
        <w:t xml:space="preserve"> </w:t>
      </w:r>
      <w:r>
        <w:t xml:space="preserve">nonivamide), a fifth (olvanil, −7.46 vs. −7.49) is effectively tied, and</w:t>
      </w:r>
      <w:r>
        <w:t xml:space="preserve"> </w:t>
      </w:r>
      <w:r>
        <w:t xml:space="preserve">only resiniferatoxin and capsaicin score modestly weaker (by 0.42 and 0.21</w:t>
      </w:r>
      <w:r>
        <w:t xml:space="preserve"> </w:t>
      </w:r>
      <w:r>
        <w:t xml:space="preserve">kcal/mol respectively — both within, or at the edge of, the</w:t>
      </w:r>
      <w:r>
        <w:t xml:space="preserve"> </w:t>
      </w:r>
      <w:r>
        <w:t xml:space="preserve">scoring-uncertainty band). In other words, once the catalytic zinc is</w:t>
      </w:r>
      <w:r>
        <w:t xml:space="preserve"> </w:t>
      </w:r>
      <w:r>
        <w:t xml:space="preserve">correctly retained in the receptor, MMP3 shows a broad signal across</w:t>
      </w:r>
      <w:r>
        <w:t xml:space="preserve"> </w:t>
      </w:r>
      <w:r>
        <w:t xml:space="preserve">essentially the whole tested chemical series, not one restricted to small</w:t>
      </w:r>
      <w:r>
        <w:t xml:space="preserve"> </w:t>
      </w:r>
      <w:r>
        <w:t xml:space="preserve">molecules — mirroring the RARG pattern more closely than our initial</w:t>
      </w:r>
      <w:r>
        <w:t xml:space="preserve"> </w:t>
      </w:r>
      <w:r>
        <w:t xml:space="preserve">(metal-free) MMP3 pass suggested. The one consistent outlier across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flagged off-targets is resiniferatoxin, the bulkiest, most structurally</w:t>
      </w:r>
      <w:r>
        <w:t xml:space="preserve"> </w:t>
      </w:r>
      <w:r>
        <w:t xml:space="preserve">complex ligand in the series; every other tested ligand scores comparably</w:t>
      </w:r>
      <w:r>
        <w:t xml:space="preserve"> </w:t>
      </w:r>
      <w:r>
        <w:t xml:space="preserve">at MMP3, RARG, and TRPV1 alike. Given the MMP3 docking protocol’s</w:t>
      </w:r>
      <w:r>
        <w:t xml:space="preserve"> </w:t>
      </w:r>
      <w:r>
        <w:t xml:space="preserve">borderline redocking RMSD (2.10 Å, above), this pattern is reported</w:t>
      </w:r>
      <w:r>
        <w:t xml:space="preserve"> </w:t>
      </w:r>
      <w:r>
        <w:t xml:space="preserve">as a hypothesis warranting experimental follow-up with somewhat lower</w:t>
      </w:r>
      <w:r>
        <w:t xml:space="preserve"> </w:t>
      </w:r>
      <w:r>
        <w:t xml:space="preserve">confidence than the RARG result, not as a confirmed finding.</w:t>
      </w:r>
    </w:p>
    <w:bookmarkEnd w:id="20"/>
    <w:bookmarkStart w:id="21" w:name="X9eff1bb08e097b99a8228b28e030b50dd5b387c"/>
    <w:p>
      <w:pPr>
        <w:pStyle w:val="Heading3"/>
      </w:pPr>
      <w:r>
        <w:t xml:space="preserve">3.4 A ground-truth discrimination check separates RARG from MMP3</w:t>
      </w:r>
    </w:p>
    <w:p>
      <w:pPr>
        <w:pStyle w:val="FirstParagraph"/>
      </w:pPr>
      <w:r>
        <w:t xml:space="preserve">The cross-receptor comparison above assumes Vina’s scoring function is</w:t>
      </w:r>
      <w:r>
        <w:t xml:space="preserve"> </w:t>
      </w:r>
      <w:r>
        <w:t xml:space="preserve">capable of meaningfully ranking compounds at RARG and MMP3 in the first</w:t>
      </w:r>
      <w:r>
        <w:t xml:space="preserve"> </w:t>
      </w:r>
      <w:r>
        <w:t xml:space="preserve">place. Table 3 tests that assumption directly: known active and inactive</w:t>
      </w:r>
      <w:r>
        <w:t xml:space="preserve"> </w:t>
      </w:r>
      <w:r>
        <w:t xml:space="preserve">ChEMBL compounds (30 each per target, property-matched, Section 2.5) were</w:t>
      </w:r>
      <w:r>
        <w:t xml:space="preserve"> </w:t>
      </w:r>
      <w:r>
        <w:t xml:space="preserve">redocked into each receptor, and ROC-AUC was computed for active/inactive</w:t>
      </w:r>
      <w:r>
        <w:t xml:space="preserve"> </w:t>
      </w:r>
      <w:r>
        <w:t xml:space="preserve">separation by score alone — a question entirely independent of the</w:t>
      </w:r>
      <w:r>
        <w:t xml:space="preserve"> </w:t>
      </w:r>
      <w:r>
        <w:t xml:space="preserve">TRPV1-agonist cross-docking analysis above.</w:t>
      </w:r>
    </w:p>
    <w:p>
      <w:pPr>
        <w:pStyle w:val="BodyText"/>
      </w:pPr>
      <w:r>
        <w:rPr>
          <w:b/>
          <w:bCs/>
        </w:rPr>
        <w:t xml:space="preserve">Table 3.</w:t>
      </w:r>
      <w:r>
        <w:t xml:space="preserve"> </w:t>
      </w:r>
      <w:r>
        <w:t xml:space="preserve">Ground-truth discrimination (ROC-AUC for separating known</w:t>
      </w:r>
      <w:r>
        <w:t xml:space="preserve"> </w:t>
      </w:r>
      <w:r>
        <w:t xml:space="preserve">active from known inactive ChEMBL compounds by docking score; 0.5 =</w:t>
      </w:r>
      <w:r>
        <w:t xml:space="preserve"> </w:t>
      </w:r>
      <w:r>
        <w:t xml:space="preserve">indistinguishable from chance, 1.0 = perfect separation). 95% CI from</w:t>
      </w:r>
      <w:r>
        <w:t xml:space="preserve"> </w:t>
      </w:r>
      <w:r>
        <w:t xml:space="preserve">10,000-resample stratified bootstrap;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from a one-sided Mann-Whitney</w:t>
      </w:r>
      <w:r>
        <w:t xml:space="preserve"> </w:t>
      </w:r>
      <w:r>
        <w:rPr>
          <w:i/>
          <w:iCs/>
        </w:rPr>
        <w:t xml:space="preserve">U</w:t>
      </w:r>
      <w:r>
        <w:t xml:space="preserve"> </w:t>
      </w:r>
      <w:r>
        <w:t xml:space="preserve">test against the null AUC = 0.5 (equivalently, active scores are not</w:t>
      </w:r>
      <w:r>
        <w:t xml:space="preserve"> </w:t>
      </w:r>
      <w:r>
        <w:t xml:space="preserve">stochastically more favorable than inactive scores); PR-AUC (average</w:t>
      </w:r>
      <w:r>
        <w:t xml:space="preserve"> </w:t>
      </w:r>
      <w:r>
        <w:t xml:space="preserve">precision) reported alongside ROC-AUC because ROC-AUC alone can look</w:t>
      </w:r>
      <w:r>
        <w:t xml:space="preserve"> </w:t>
      </w:r>
      <w:r>
        <w:t xml:space="preserve">optimistic on small, balanced panels. ROC curves and score distributions</w:t>
      </w:r>
      <w:r>
        <w:t xml:space="preserve"> </w:t>
      </w:r>
      <w:r>
        <w:t xml:space="preserve">underlying this table are in</w:t>
      </w:r>
      <w:r>
        <w:t xml:space="preserve"> </w:t>
      </w:r>
      <w:r>
        <w:rPr>
          <w:rStyle w:val="VerbatimChar"/>
        </w:rPr>
        <w:t xml:space="preserve">figures/roc_curves.png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figures/score_distributions.png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Scoring</w:t>
            </w:r>
          </w:p>
        </w:tc>
        <w:tc>
          <w:tcPr/>
          <w:p>
            <w:pPr>
              <w:pStyle w:val="Compact"/>
            </w:pPr>
            <w:r>
              <w:t xml:space="preserve">n (active/inactive)</w:t>
            </w:r>
          </w:p>
        </w:tc>
        <w:tc>
          <w:tcPr/>
          <w:p>
            <w:pPr>
              <w:pStyle w:val="Compact"/>
            </w:pPr>
            <w:r>
              <w:t xml:space="preserve">ROC-AUC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</w:t>
            </w:r>
            <w:r>
              <w:t xml:space="preserve"> </w:t>
            </w:r>
            <w:r>
              <w:t xml:space="preserve">(vs. 0.5)</w:t>
            </w:r>
          </w:p>
        </w:tc>
        <w:tc>
          <w:tcPr/>
          <w:p>
            <w:pPr>
              <w:pStyle w:val="Compact"/>
            </w:pPr>
            <w:r>
              <w:t xml:space="preserve">PR-AUC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RARG</w:t>
            </w:r>
          </w:p>
        </w:tc>
        <w:tc>
          <w:tcPr/>
          <w:p>
            <w:pPr>
              <w:pStyle w:val="Compact"/>
            </w:pPr>
            <w:r>
              <w:t xml:space="preserve">Vina</w:t>
            </w:r>
          </w:p>
        </w:tc>
        <w:tc>
          <w:tcPr/>
          <w:p>
            <w:pPr>
              <w:pStyle w:val="Compact"/>
            </w:pPr>
            <w:r>
              <w:t xml:space="preserve">30/30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0.811</w:t>
            </w:r>
          </w:p>
        </w:tc>
        <w:tc>
          <w:tcPr/>
          <w:p>
            <w:pPr>
              <w:pStyle w:val="Compact"/>
            </w:pPr>
            <w:r>
              <w:t xml:space="preserve">0.686–0.914</w:t>
            </w:r>
          </w:p>
        </w:tc>
        <w:tc>
          <w:tcPr/>
          <w:p>
            <w:pPr>
              <w:pStyle w:val="Compact"/>
            </w:pPr>
            <w:r>
              <w:t xml:space="preserve">&lt;0.0001</w:t>
            </w:r>
          </w:p>
        </w:tc>
        <w:tc>
          <w:tcPr/>
          <w:p>
            <w:pPr>
              <w:pStyle w:val="Compact"/>
            </w:pPr>
            <w:r>
              <w:t xml:space="preserve">0.858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MMP3</w:t>
            </w:r>
          </w:p>
        </w:tc>
        <w:tc>
          <w:tcPr/>
          <w:p>
            <w:pPr>
              <w:pStyle w:val="Compact"/>
            </w:pPr>
            <w:r>
              <w:t xml:space="preserve">Vina</w:t>
            </w:r>
          </w:p>
        </w:tc>
        <w:tc>
          <w:tcPr/>
          <w:p>
            <w:pPr>
              <w:pStyle w:val="Compact"/>
            </w:pPr>
            <w:r>
              <w:t xml:space="preserve">30/30</w:t>
            </w:r>
          </w:p>
        </w:tc>
        <w:tc>
          <w:tcPr/>
          <w:p>
            <w:pPr>
              <w:pStyle w:val="Compact"/>
            </w:pPr>
            <w:r>
              <w:t xml:space="preserve">0.503</w:t>
            </w:r>
          </w:p>
        </w:tc>
        <w:tc>
          <w:tcPr/>
          <w:p>
            <w:pPr>
              <w:pStyle w:val="Compact"/>
            </w:pPr>
            <w:r>
              <w:t xml:space="preserve">0.351–0.654</w:t>
            </w:r>
          </w:p>
        </w:tc>
        <w:tc>
          <w:tcPr/>
          <w:p>
            <w:pPr>
              <w:pStyle w:val="Compact"/>
            </w:pPr>
            <w:r>
              <w:t xml:space="preserve">0.485</w:t>
            </w:r>
          </w:p>
        </w:tc>
        <w:tc>
          <w:tcPr/>
          <w:p>
            <w:pPr>
              <w:pStyle w:val="Compact"/>
            </w:pPr>
            <w:r>
              <w:t xml:space="preserve">0.598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MMP3</w:t>
            </w:r>
          </w:p>
        </w:tc>
        <w:tc>
          <w:tcPr/>
          <w:p>
            <w:pPr>
              <w:pStyle w:val="Compact"/>
            </w:pPr>
            <w:r>
              <w:t xml:space="preserve">AD4Zn</w:t>
            </w:r>
          </w:p>
        </w:tc>
        <w:tc>
          <w:tcPr/>
          <w:p>
            <w:pPr>
              <w:pStyle w:val="Compact"/>
            </w:pPr>
            <w:r>
              <w:t xml:space="preserve">30/30</w:t>
            </w:r>
          </w:p>
        </w:tc>
        <w:tc>
          <w:tcPr/>
          <w:p>
            <w:pPr>
              <w:pStyle w:val="Compact"/>
            </w:pPr>
            <w:r>
              <w:t xml:space="preserve">0.551</w:t>
            </w:r>
          </w:p>
        </w:tc>
        <w:tc>
          <w:tcPr/>
          <w:p>
            <w:pPr>
              <w:pStyle w:val="Compact"/>
            </w:pPr>
            <w:r>
              <w:t xml:space="preserve">0.394–0.694</w:t>
            </w:r>
          </w:p>
        </w:tc>
        <w:tc>
          <w:tcPr/>
          <w:p>
            <w:pPr>
              <w:pStyle w:val="Compact"/>
            </w:pPr>
            <w:r>
              <w:t xml:space="preserve">0.251</w:t>
            </w:r>
          </w:p>
        </w:tc>
        <w:tc>
          <w:tcPr/>
          <w:p>
            <w:pPr>
              <w:pStyle w:val="Compact"/>
            </w:pPr>
            <w:r>
              <w:t xml:space="preserve">0.610</w:t>
            </w:r>
          </w:p>
        </w:tc>
      </w:tr>
    </w:tbl>
    <w:p>
      <w:pPr>
        <w:pStyle w:val="BodyText"/>
      </w:pPr>
      <w:r>
        <w:t xml:space="preserve">RARG passes this check convincingly and with a bootstrap CI that excludes</w:t>
      </w:r>
      <w:r>
        <w:t xml:space="preserve"> </w:t>
      </w:r>
      <w:r>
        <w:t xml:space="preserve">chance entirely (0.686–0.914;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0.0001): Vina score separates known</w:t>
      </w:r>
      <w:r>
        <w:t xml:space="preserve"> </w:t>
      </w:r>
      <w:r>
        <w:t xml:space="preserve">RARG actives from inactives well above chance, using a compound set and</w:t>
      </w:r>
      <w:r>
        <w:t xml:space="preserve"> </w:t>
      </w:r>
      <w:r>
        <w:t xml:space="preserve">question entirely unrelated to the seven-ligand TRPV1 series in Table 2.</w:t>
      </w:r>
      <w:r>
        <w:t xml:space="preserve"> </w:t>
      </w:r>
      <w:r>
        <w:t xml:space="preserve">This is independent corroboration that the RARG cross-docking result</w:t>
      </w:r>
      <w:r>
        <w:t xml:space="preserve"> </w:t>
      </w:r>
      <w:r>
        <w:t xml:space="preserve">reflects the scoring function doing real work on this pocket, not a</w:t>
      </w:r>
      <w:r>
        <w:t xml:space="preserve"> </w:t>
      </w:r>
      <w:r>
        <w:t xml:space="preserve">coincidence of the specific seven-ligand series tested. Because roughly</w:t>
      </w:r>
      <w:r>
        <w:t xml:space="preserve"> </w:t>
      </w:r>
      <w:r>
        <w:t xml:space="preserve">three-fifths of the RARG panel (35/60 candidate compounds; 18 active, 17</w:t>
      </w:r>
      <w:r>
        <w:t xml:space="preserve"> </w:t>
      </w:r>
      <w:r>
        <w:t xml:space="preserve">inactive among the sampled 30/30) was labeled from a functional EC50</w:t>
      </w:r>
      <w:r>
        <w:t xml:space="preserve"> </w:t>
      </w:r>
      <w:r>
        <w:t xml:space="preserve">assay rather than a direct binding measurement (Ki/Kd) or enzymatic IC50,</w:t>
      </w:r>
      <w:r>
        <w:t xml:space="preserve"> </w:t>
      </w:r>
      <w:r>
        <w:t xml:space="preserve">we repeated the check restricted to the subset whose label was set by a</w:t>
      </w:r>
      <w:r>
        <w:t xml:space="preserve"> </w:t>
      </w:r>
      <w:r>
        <w:t xml:space="preserve">binding-type record only (Ki, Kd, or IC50; n=25, 12 active/13 inactive):</w:t>
      </w:r>
      <w:r>
        <w:t xml:space="preserve"> </w:t>
      </w:r>
      <w:r>
        <w:t xml:space="preserve">AUC was unchanged at 0.821, ruling out EC50/binding-assay mixing as an</w:t>
      </w:r>
      <w:r>
        <w:t xml:space="preserve"> </w:t>
      </w:r>
      <w:r>
        <w:t xml:space="preserve">explanation for the RARG result. MMP3’s panel required no such check — no</w:t>
      </w:r>
      <w:r>
        <w:t xml:space="preserve"> </w:t>
      </w:r>
      <w:r>
        <w:t xml:space="preserve">compound in either the active or inactive set was labeled from an EC50</w:t>
      </w:r>
      <w:r>
        <w:t xml:space="preserve"> </w:t>
      </w:r>
      <w:r>
        <w:t xml:space="preserve">record (all IC50/Ki/Kd).</w:t>
      </w:r>
    </w:p>
    <w:p>
      <w:pPr>
        <w:pStyle w:val="BodyText"/>
      </w:pPr>
      <w:r>
        <w:t xml:space="preserve">MMP3 fails the same check outright (AUC 0.503, 95% CI 0.351–0.654 —</w:t>
      </w:r>
      <w:r>
        <w:t xml:space="preserve"> </w:t>
      </w:r>
      <w:r>
        <w:t xml:space="preserve">straddling 0.5 almost symmetrically;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0.485, nowhere near</w:t>
      </w:r>
      <w:r>
        <w:t xml:space="preserve"> </w:t>
      </w:r>
      <w:r>
        <w:t xml:space="preserve">significance) — active and inactive</w:t>
      </w:r>
      <w:r>
        <w:t xml:space="preserve"> </w:t>
      </w:r>
      <w:r>
        <w:t xml:space="preserve">compounds are, on average, indistinguishable by score (mean −9.51 vs.</w:t>
      </w:r>
      <w:r>
        <w:t xml:space="preserve"> </w:t>
      </w:r>
      <w:r>
        <w:t xml:space="preserve">−9.71 kcal/mol respectively; Section 3.3 details). Switching to AD4Zn, a</w:t>
      </w:r>
      <w:r>
        <w:t xml:space="preserve"> </w:t>
      </w:r>
      <w:r>
        <w:t xml:space="preserve">force field built specifically to score zinc coordination correctly,</w:t>
      </w:r>
      <w:r>
        <w:t xml:space="preserve"> </w:t>
      </w:r>
      <w:r>
        <w:t xml:space="preserve">improved this only marginally (AUC 0.551, 95% CI 0.394–0.694,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0.251;</w:t>
      </w:r>
      <w:r>
        <w:t xml:space="preserve"> </w:t>
      </w:r>
      <w:r>
        <w:t xml:space="preserve">active mean −25.23 vs. inactive</w:t>
      </w:r>
      <w:r>
        <w:t xml:space="preserve"> </w:t>
      </w:r>
      <w:r>
        <w:t xml:space="preserve">mean −24.54 in AD4 scoring units, not comparable in scale to plain-Vina</w:t>
      </w:r>
      <w:r>
        <w:t xml:space="preserve"> </w:t>
      </w:r>
      <w:r>
        <w:t xml:space="preserve">kcal/mol) — still statistically indistinguishable from chance and far</w:t>
      </w:r>
      <w:r>
        <w:t xml:space="preserve"> </w:t>
      </w:r>
      <w:r>
        <w:t xml:space="preserve">below RARG’s result under the</w:t>
      </w:r>
      <w:r>
        <w:t xml:space="preserve"> </w:t>
      </w:r>
      <w:r>
        <w:t xml:space="preserve">unmodified scoring function. This rules out</w:t>
      </w:r>
      <w:r>
        <w:t xml:space="preserve"> </w:t>
      </w:r>
      <w:r>
        <w:t xml:space="preserve">“the catalytic zinc is scored</w:t>
      </w:r>
      <w:r>
        <w:t xml:space="preserve"> </w:t>
      </w:r>
      <w:r>
        <w:t xml:space="preserve">as an inert rigid body instead of a real coordination partner”</w:t>
      </w:r>
      <w:r>
        <w:t xml:space="preserve"> </w:t>
      </w:r>
      <w:r>
        <w:t xml:space="preserve">as the sole</w:t>
      </w:r>
      <w:r>
        <w:t xml:space="preserve"> </w:t>
      </w:r>
      <w:r>
        <w:t xml:space="preserve">explanation for MMP3’s poor performance; some other factor (pocket</w:t>
      </w:r>
      <w:r>
        <w:t xml:space="preserve"> </w:t>
      </w:r>
      <w:r>
        <w:t xml:space="preserve">flexibility not captured by a single static structure, a coarser fit of</w:t>
      </w:r>
      <w:r>
        <w:t xml:space="preserve"> </w:t>
      </w:r>
      <w:r>
        <w:t xml:space="preserve">the empirical scoring terms to this binding mode, or limitations of the</w:t>
      </w:r>
      <w:r>
        <w:t xml:space="preserve"> </w:t>
      </w:r>
      <w:r>
        <w:t xml:space="preserve">1HFS holo-structure itself) is also at play, and was not resolved within</w:t>
      </w:r>
      <w:r>
        <w:t xml:space="preserve"> </w:t>
      </w:r>
      <w:r>
        <w:t xml:space="preserve">the scope of this study. Practically, this means the MMP3 numbers in Table</w:t>
      </w:r>
      <w:r>
        <w:t xml:space="preserve"> </w:t>
      </w:r>
      <w:r>
        <w:t xml:space="preserve">2 cannot be read as evidence of anything: a docking protocol that cannot</w:t>
      </w:r>
      <w:r>
        <w:t xml:space="preserve"> </w:t>
      </w:r>
      <w:r>
        <w:t xml:space="preserve">rank known MMP3 binders above known non-binders within a single receptor</w:t>
      </w:r>
      <w:r>
        <w:t xml:space="preserve"> </w:t>
      </w:r>
      <w:r>
        <w:t xml:space="preserve">has not demonstrated the far harder capability — absolute score comparison</w:t>
      </w:r>
      <w:r>
        <w:t xml:space="preserve"> </w:t>
      </w:r>
      <w:r>
        <w:t xml:space="preserve">across two structurally unrelated receptors — that the Table 2 argument</w:t>
      </w:r>
      <w:r>
        <w:t xml:space="preserve"> </w:t>
      </w:r>
      <w:r>
        <w:t xml:space="preserve">depends on. This is consistent with, and considerably sharpens, the</w:t>
      </w:r>
      <w:r>
        <w:t xml:space="preserve"> </w:t>
      </w:r>
      <w:r>
        <w:t xml:space="preserve">borderline redocking RMSD already flagged for MMP3 in Section 3.3.</w:t>
      </w:r>
    </w:p>
    <w:bookmarkEnd w:id="21"/>
    <w:bookmarkStart w:id="22" w:name="X3b6134503459f2125af714fbf3980f014ea028c"/>
    <w:p>
      <w:pPr>
        <w:pStyle w:val="Heading3"/>
      </w:pPr>
      <w:r>
        <w:t xml:space="preserve">3.5 Local ESM-2 pocket representations corroborate TRPV5/TRPV6 divergence but not the TRPV4-specific claim</w:t>
      </w:r>
    </w:p>
    <w:p>
      <w:pPr>
        <w:pStyle w:val="FirstParagraph"/>
      </w:pPr>
      <w:r>
        <w:t xml:space="preserve">Table 4 tests the qualitative claim of Section 3.1 in a way that is</w:t>
      </w:r>
      <w:r>
        <w:t xml:space="preserve"> </w:t>
      </w:r>
      <w:r>
        <w:t xml:space="preserve">independent of sequence identity.</w:t>
      </w:r>
    </w:p>
    <w:p>
      <w:pPr>
        <w:pStyle w:val="BodyText"/>
      </w:pPr>
      <w:r>
        <w:rPr>
          <w:b/>
          <w:bCs/>
        </w:rPr>
        <w:t xml:space="preserve">Table 4.</w:t>
      </w:r>
      <w:r>
        <w:t xml:space="preserve"> </w:t>
      </w:r>
      <w:r>
        <w:t xml:space="preserve">Cosine similarity of local (pocket-residue) and whole-protein</w:t>
      </w:r>
      <w:r>
        <w:t xml:space="preserve"> </w:t>
      </w:r>
      <w:r>
        <w:t xml:space="preserve">ESM-2 representations to TRPV1.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Paralog</w:t>
            </w:r>
          </w:p>
        </w:tc>
        <w:tc>
          <w:tcPr/>
          <w:p>
            <w:pPr>
              <w:pStyle w:val="Compact"/>
            </w:pPr>
            <w:r>
              <w:t xml:space="preserve">Local similarity (pocket residues)</w:t>
            </w:r>
          </w:p>
        </w:tc>
        <w:tc>
          <w:tcPr/>
          <w:p>
            <w:pPr>
              <w:pStyle w:val="Compact"/>
            </w:pPr>
            <w:r>
              <w:t xml:space="preserve">Whole-protein similarity (negative control)</w:t>
            </w:r>
          </w:p>
        </w:tc>
        <w:tc>
          <w:tcPr/>
          <w:p>
            <w:pPr>
              <w:pStyle w:val="Compact"/>
            </w:pPr>
            <w:r>
              <w:t xml:space="preserve">Positions compared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TRPV2</w:t>
            </w:r>
          </w:p>
        </w:tc>
        <w:tc>
          <w:tcPr/>
          <w:p>
            <w:pPr>
              <w:pStyle w:val="Compact"/>
            </w:pPr>
            <w:r>
              <w:t xml:space="preserve">0.9646</w:t>
            </w:r>
          </w:p>
        </w:tc>
        <w:tc>
          <w:tcPr/>
          <w:p>
            <w:pPr>
              <w:pStyle w:val="Compact"/>
            </w:pPr>
            <w:r>
              <w:t xml:space="preserve">0.9933</w:t>
            </w:r>
          </w:p>
        </w:tc>
        <w:tc>
          <w:tcPr/>
          <w:p>
            <w:pPr>
              <w:pStyle w:val="Compact"/>
            </w:pPr>
            <w:r>
              <w:t xml:space="preserve">4/4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TRPV3</w:t>
            </w:r>
          </w:p>
        </w:tc>
        <w:tc>
          <w:tcPr/>
          <w:p>
            <w:pPr>
              <w:pStyle w:val="Compact"/>
            </w:pPr>
            <w:r>
              <w:t xml:space="preserve">0.9648</w:t>
            </w:r>
          </w:p>
        </w:tc>
        <w:tc>
          <w:tcPr/>
          <w:p>
            <w:pPr>
              <w:pStyle w:val="Compact"/>
            </w:pPr>
            <w:r>
              <w:t xml:space="preserve">0.9963</w:t>
            </w:r>
          </w:p>
        </w:tc>
        <w:tc>
          <w:tcPr/>
          <w:p>
            <w:pPr>
              <w:pStyle w:val="Compact"/>
            </w:pPr>
            <w:r>
              <w:t xml:space="preserve">4/4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TRPV4</w:t>
            </w:r>
          </w:p>
        </w:tc>
        <w:tc>
          <w:tcPr/>
          <w:p>
            <w:pPr>
              <w:pStyle w:val="Compact"/>
            </w:pPr>
            <w:r>
              <w:t xml:space="preserve">0.9689</w:t>
            </w:r>
          </w:p>
        </w:tc>
        <w:tc>
          <w:tcPr/>
          <w:p>
            <w:pPr>
              <w:pStyle w:val="Compact"/>
            </w:pPr>
            <w:r>
              <w:t xml:space="preserve">0.9976</w:t>
            </w:r>
          </w:p>
        </w:tc>
        <w:tc>
          <w:tcPr/>
          <w:p>
            <w:pPr>
              <w:pStyle w:val="Compact"/>
            </w:pPr>
            <w:r>
              <w:t xml:space="preserve">4/4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TRPV5</w:t>
            </w:r>
          </w:p>
        </w:tc>
        <w:tc>
          <w:tcPr/>
          <w:p>
            <w:pPr>
              <w:pStyle w:val="Compact"/>
            </w:pPr>
            <w:r>
              <w:t xml:space="preserve">0.9344</w:t>
            </w:r>
          </w:p>
        </w:tc>
        <w:tc>
          <w:tcPr/>
          <w:p>
            <w:pPr>
              <w:pStyle w:val="Compact"/>
            </w:pPr>
            <w:r>
              <w:t xml:space="preserve">0.9929</w:t>
            </w:r>
          </w:p>
        </w:tc>
        <w:tc>
          <w:tcPr/>
          <w:p>
            <w:pPr>
              <w:pStyle w:val="Compact"/>
            </w:pPr>
            <w:r>
              <w:t xml:space="preserve">4/4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TRPV6</w:t>
            </w:r>
          </w:p>
        </w:tc>
        <w:tc>
          <w:tcPr/>
          <w:p>
            <w:pPr>
              <w:pStyle w:val="Compact"/>
            </w:pPr>
            <w:r>
              <w:t xml:space="preserve">0.9407</w:t>
            </w:r>
          </w:p>
        </w:tc>
        <w:tc>
          <w:tcPr/>
          <w:p>
            <w:pPr>
              <w:pStyle w:val="Compact"/>
            </w:pPr>
            <w:r>
              <w:t xml:space="preserve">0.9930</w:t>
            </w:r>
          </w:p>
        </w:tc>
        <w:tc>
          <w:tcPr/>
          <w:p>
            <w:pPr>
              <w:pStyle w:val="Compact"/>
            </w:pPr>
            <w:r>
              <w:t xml:space="preserve">3/4 (gap at S512)</w:t>
            </w:r>
          </w:p>
        </w:tc>
      </w:tr>
    </w:tbl>
    <w:p>
      <w:pPr>
        <w:pStyle w:val="BodyText"/>
      </w:pPr>
      <w:r>
        <w:t xml:space="preserve">The negative control proved exactly as uninformative as predicted:</w:t>
      </w:r>
      <w:r>
        <w:t xml:space="preserve"> </w:t>
      </w:r>
      <w:r>
        <w:t xml:space="preserve">0.993–0.998 across all five paralogs, a ~0.005 spread that does not even</w:t>
      </w:r>
      <w:r>
        <w:t xml:space="preserve"> </w:t>
      </w:r>
      <w:r>
        <w:t xml:space="preserve">reproduce the whole-protein identity ranking of Table 1 (TRPV4 has the</w:t>
      </w:r>
      <w:r>
        <w:t xml:space="preserve"> </w:t>
      </w:r>
      <w:r>
        <w:rPr>
          <w:i/>
          <w:iCs/>
        </w:rPr>
        <w:t xml:space="preserve">highest</w:t>
      </w:r>
      <w:r>
        <w:t xml:space="preserve"> </w:t>
      </w:r>
      <w:r>
        <w:t xml:space="preserve">global similarity here while being the second-lowest-identity</w:t>
      </w:r>
      <w:r>
        <w:t xml:space="preserve"> </w:t>
      </w:r>
      <w:r>
        <w:t xml:space="preserve">paralog). This confirms that whole-sequence mean-pooled representations are</w:t>
      </w:r>
      <w:r>
        <w:t xml:space="preserve"> </w:t>
      </w:r>
      <w:r>
        <w:t xml:space="preserve">not a useful lens for this question, independent of the percent-identity</w:t>
      </w:r>
      <w:r>
        <w:t xml:space="preserve"> </w:t>
      </w:r>
      <w:r>
        <w:t xml:space="preserve">argument already made in Section 2.1.</w:t>
      </w:r>
    </w:p>
    <w:p>
      <w:pPr>
        <w:pStyle w:val="BodyText"/>
      </w:pPr>
      <w:r>
        <w:t xml:space="preserve">The local metric, by contrast, separates a real axis: TRPV2/TRPV3/TRPV4</w:t>
      </w:r>
      <w:r>
        <w:t xml:space="preserve"> </w:t>
      </w:r>
      <w:r>
        <w:t xml:space="preserve">cluster tightly (0.965–0.969) while TRPV5/TRPV6 sit measurably lower</w:t>
      </w:r>
      <w:r>
        <w:t xml:space="preserve"> </w:t>
      </w:r>
      <w:r>
        <w:t xml:space="preserve">(0.93–0.94). This is consistent with the literature-based claim that</w:t>
      </w:r>
      <w:r>
        <w:t xml:space="preserve"> </w:t>
      </w:r>
      <w:r>
        <w:t xml:space="preserve">TRPV5/6 — calcium-selective channels with a distinct pore architecture —</w:t>
      </w:r>
      <w:r>
        <w:t xml:space="preserve"> </w:t>
      </w:r>
      <w:r>
        <w:t xml:space="preserve">diverge more at the pocket than TRPV2–4 do, and constitutes a second,</w:t>
      </w:r>
      <w:r>
        <w:t xml:space="preserve"> </w:t>
      </w:r>
      <w:r>
        <w:t xml:space="preserve">independent (representation-based rather than identity-based) line of</w:t>
      </w:r>
      <w:r>
        <w:t xml:space="preserve"> </w:t>
      </w:r>
      <w:r>
        <w:t xml:space="preserve">evidence for that specific part of the claim.</w:t>
      </w:r>
    </w:p>
    <w:p>
      <w:pPr>
        <w:pStyle w:val="BodyText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, however, corroborate the TRPV4-specific part. TRPV4 has no</w:t>
      </w:r>
      <w:r>
        <w:t xml:space="preserve"> </w:t>
      </w:r>
      <w:r>
        <w:t xml:space="preserve">same-physicochemical-class match at any of the four pocket positions</w:t>
      </w:r>
      <w:r>
        <w:t xml:space="preserve"> </w:t>
      </w:r>
      <w:r>
        <w:t xml:space="preserve">(Y511→S, S512→F, T550→M, E570→Q — all class changes), making it more</w:t>
      </w:r>
      <w:r>
        <w:t xml:space="preserve"> </w:t>
      </w:r>
      <w:r>
        <w:t xml:space="preserve">substituted than TRPV2 or TRPV3 by that discrete measure, and yet it has</w:t>
      </w:r>
      <w:r>
        <w:t xml:space="preserve"> </w:t>
      </w:r>
      <w:r>
        <w:t xml:space="preserve">the highest local ESM-2 similarity of the group. A plausible reading is</w:t>
      </w:r>
      <w:r>
        <w:t xml:space="preserve"> </w:t>
      </w:r>
      <w:r>
        <w:t xml:space="preserve">that a five-residue window mean-pool is dominated by the strongly conserved</w:t>
      </w:r>
      <w:r>
        <w:t xml:space="preserve"> </w:t>
      </w:r>
      <w:r>
        <w:t xml:space="preserve">flanking motif shared across TRPV1–4, so the signal here is closer to</w:t>
      </w:r>
      <w:r>
        <w:t xml:space="preserve"> </w:t>
      </w:r>
      <w:r>
        <w:t xml:space="preserve">“how</w:t>
      </w:r>
      <w:r>
        <w:t xml:space="preserve"> </w:t>
      </w:r>
      <w:r>
        <w:t xml:space="preserve">conserved is the local structural context”</w:t>
      </w:r>
      <w:r>
        <w:t xml:space="preserve"> </w:t>
      </w:r>
      <w:r>
        <w:t xml:space="preserve">than to</w:t>
      </w:r>
      <w:r>
        <w:t xml:space="preserve"> </w:t>
      </w:r>
      <w:r>
        <w:t xml:space="preserve">“how conservative is</w:t>
      </w:r>
      <w:r>
        <w:t xml:space="preserve"> </w:t>
      </w:r>
      <w:r>
        <w:t xml:space="preserve">the specific substitution”</w:t>
      </w:r>
      <w:r>
        <w:t xml:space="preserve">. This should be read as a limitation of the</w:t>
      </w:r>
      <w:r>
        <w:t xml:space="preserve"> </w:t>
      </w:r>
      <w:r>
        <w:t xml:space="preserve">window-pooling approach rather than as evidence against the literature’s</w:t>
      </w:r>
      <w:r>
        <w:t xml:space="preserve"> </w:t>
      </w:r>
      <w:r>
        <w:t xml:space="preserve">TRPV4 point-substitution argument, which concerns the functional</w:t>
      </w:r>
      <w:r>
        <w:t xml:space="preserve"> </w:t>
      </w:r>
      <w:r>
        <w:t xml:space="preserve">consequence of one specific residue change rather than local-context</w:t>
      </w:r>
      <w:r>
        <w:t xml:space="preserve"> </w:t>
      </w:r>
      <w:r>
        <w:t xml:space="preserve">similarity.</w:t>
      </w:r>
    </w:p>
    <w:bookmarkEnd w:id="22"/>
    <w:bookmarkEnd w:id="23"/>
    <w:bookmarkStart w:id="24" w:name="discussion"/>
    <w:p>
      <w:pPr>
        <w:pStyle w:val="Heading2"/>
      </w:pPr>
      <w:r>
        <w:t xml:space="preserve">4. Discussion</w:t>
      </w:r>
    </w:p>
    <w:p>
      <w:pPr>
        <w:pStyle w:val="FirstParagraph"/>
      </w:pPr>
      <w:r>
        <w:t xml:space="preserve">This screen demonstrates that structure-based off-target triage — cheap</w:t>
      </w:r>
      <w:r>
        <w:t xml:space="preserve"> </w:t>
      </w:r>
      <w:r>
        <w:t xml:space="preserve">enough to run before a lead compound exists — can surface a candidate</w:t>
      </w:r>
      <w:r>
        <w:t xml:space="preserve"> </w:t>
      </w:r>
      <w:r>
        <w:t xml:space="preserve">(RARG) that a conventional paralog-only safety review would never examine,</w:t>
      </w:r>
      <w:r>
        <w:t xml:space="preserve"> </w:t>
      </w:r>
      <w:r>
        <w:t xml:space="preserve">because RARG shares no meaningful sequence identity or evolutionary</w:t>
      </w:r>
      <w:r>
        <w:t xml:space="preserve"> </w:t>
      </w:r>
      <w:r>
        <w:t xml:space="preserve">relationship with TRPV1. The finding is strengthened by two independent</w:t>
      </w:r>
      <w:r>
        <w:t xml:space="preserve"> </w:t>
      </w:r>
      <w:r>
        <w:t xml:space="preserve">lines of computational evidence converging on the same target</w:t>
      </w:r>
      <w:r>
        <w:t xml:space="preserve"> </w:t>
      </w:r>
      <w:r>
        <w:t xml:space="preserve">(pocket-fingerprint similarity and cross-docking), and by the fact that</w:t>
      </w:r>
      <w:r>
        <w:t xml:space="preserve"> </w:t>
      </w:r>
      <w:r>
        <w:t xml:space="preserve">RARG is not a purely hypothetical target: it is the direct target of an</w:t>
      </w:r>
      <w:r>
        <w:t xml:space="preserve"> </w:t>
      </w:r>
      <w:r>
        <w:t xml:space="preserve">approved topical RARγ-selective retinoid (trifarotene) and is engaged,</w:t>
      </w:r>
      <w:r>
        <w:t xml:space="preserve"> </w:t>
      </w:r>
      <w:r>
        <w:t xml:space="preserve">less selectively, by an older topical retinoid prodrug (tazarotene). A</w:t>
      </w:r>
      <w:r>
        <w:t xml:space="preserve"> </w:t>
      </w:r>
      <w:r>
        <w:t xml:space="preserve">third, independent line of evidence points the same direction: a</w:t>
      </w:r>
      <w:r>
        <w:t xml:space="preserve"> </w:t>
      </w:r>
      <w:r>
        <w:t xml:space="preserve">ground-truth check using known ChEMBL actives and inactives (Section 3.4)</w:t>
      </w:r>
      <w:r>
        <w:t xml:space="preserve"> </w:t>
      </w:r>
      <w:r>
        <w:t xml:space="preserve">shows Vina score genuinely discriminates RARG binders from non-binders</w:t>
      </w:r>
      <w:r>
        <w:t xml:space="preserve"> </w:t>
      </w:r>
      <w:r>
        <w:t xml:space="preserve">(ROC-AUC 0.811) on a compound set entirely unrelated to the seven-ligand</w:t>
      </w:r>
      <w:r>
        <w:t xml:space="preserve"> </w:t>
      </w:r>
      <w:r>
        <w:t xml:space="preserve">TRPV1 series used for cross-docking — evidence that the underlying scoring</w:t>
      </w:r>
      <w:r>
        <w:t xml:space="preserve"> </w:t>
      </w:r>
      <w:r>
        <w:t xml:space="preserve">function does real, generalizable work on this pocket, not just a</w:t>
      </w:r>
      <w:r>
        <w:t xml:space="preserve"> </w:t>
      </w:r>
      <w:r>
        <w:t xml:space="preserve">consistent pattern within one ligand series. The clinical precedent</w:t>
      </w:r>
      <w:r>
        <w:t xml:space="preserve"> </w:t>
      </w:r>
      <w:r>
        <w:t xml:space="preserve">compounds this: the receptor is already pharmacologically engaged in the</w:t>
      </w:r>
      <w:r>
        <w:t xml:space="preserve"> </w:t>
      </w:r>
      <w:r>
        <w:t xml:space="preserve">same tissue by existing therapeutics, giving a potential off-target</w:t>
      </w:r>
      <w:r>
        <w:t xml:space="preserve"> </w:t>
      </w:r>
      <w:r>
        <w:t xml:space="preserve">interaction a concrete, clinically anchored interpretive frame (possible</w:t>
      </w:r>
      <w:r>
        <w:t xml:space="preserve"> </w:t>
      </w:r>
      <w:r>
        <w:t xml:space="preserve">interference with retinoid signaling in skin) rather than requiring a de</w:t>
      </w:r>
      <w:r>
        <w:t xml:space="preserve"> </w:t>
      </w:r>
      <w:r>
        <w:t xml:space="preserve">novo toxicological hypothesis. We stress that none of this establishes</w:t>
      </w:r>
      <w:r>
        <w:t xml:space="preserve"> </w:t>
      </w:r>
      <w:r>
        <w:t xml:space="preserve">actual binding, agonism versus antagonism at RARG, or any functional or</w:t>
      </w:r>
      <w:r>
        <w:t xml:space="preserve"> </w:t>
      </w:r>
      <w:r>
        <w:t xml:space="preserve">toxicological consequence — those questions are outside the scope of a</w:t>
      </w:r>
      <w:r>
        <w:t xml:space="preserve"> </w:t>
      </w:r>
      <w:r>
        <w:t xml:space="preserve">computational screen and require dedicated experimental follow-up.</w:t>
      </w:r>
    </w:p>
    <w:p>
      <w:pPr>
        <w:pStyle w:val="BodyText"/>
      </w:pPr>
      <w:r>
        <w:t xml:space="preserve">Several limitations bound how these results should be used. First, and</w:t>
      </w:r>
      <w:r>
        <w:t xml:space="preserve"> </w:t>
      </w:r>
      <w:r>
        <w:t xml:space="preserve">most importantly, this is a hypothesis-generating computational triage, not</w:t>
      </w:r>
      <w:r>
        <w:t xml:space="preserve"> </w:t>
      </w:r>
      <w:r>
        <w:t xml:space="preserve">a confirmatory safety study — no experimental (biochemical, cellular, or in</w:t>
      </w:r>
      <w:r>
        <w:t xml:space="preserve"> </w:t>
      </w:r>
      <w:r>
        <w:t xml:space="preserve">vivo) cross-reactivity data was generated or checked against these</w:t>
      </w:r>
      <w:r>
        <w:t xml:space="preserve"> </w:t>
      </w:r>
      <w:r>
        <w:t xml:space="preserve">predictions. Validating fpocket’s cavity-detection accuracy against a known</w:t>
      </w:r>
      <w:r>
        <w:t xml:space="preserve"> </w:t>
      </w:r>
      <w:r>
        <w:t xml:space="preserve">TRPV1 pocket demonstrates the method can</w:t>
      </w:r>
      <w:r>
        <w:t xml:space="preserve"> </w:t>
      </w:r>
      <w:r>
        <w:rPr>
          <w:i/>
          <w:iCs/>
        </w:rPr>
        <w:t xml:space="preserve">find</w:t>
      </w:r>
      <w:r>
        <w:t xml:space="preserve"> </w:t>
      </w:r>
      <w:r>
        <w:t xml:space="preserve">pockets correctly; it does</w:t>
      </w:r>
      <w:r>
        <w:t xml:space="preserve"> </w:t>
      </w:r>
      <w:r>
        <w:t xml:space="preserve">not establish that pocket-descriptor similarity or docking score predicts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binding for an unrelated fold, and the RARG result should be read</w:t>
      </w:r>
      <w:r>
        <w:t xml:space="preserve"> </w:t>
      </w:r>
      <w:r>
        <w:t xml:space="preserve">as</w:t>
      </w:r>
      <w:r>
        <w:t xml:space="preserve"> </w:t>
      </w:r>
      <w:r>
        <w:t xml:space="preserve">“warrants a targeted counter-screen,”</w:t>
      </w:r>
      <w:r>
        <w:t xml:space="preserve"> </w:t>
      </w:r>
      <w:r>
        <w:t xml:space="preserve">not as confirmed cross-reactivity.</w:t>
      </w:r>
      <w:r>
        <w:t xml:space="preserve"> </w:t>
      </w:r>
      <w:r>
        <w:t xml:space="preserve">Second, Vina’s scoring function is an empirically parameterized</w:t>
      </w:r>
      <w:r>
        <w:t xml:space="preserve"> </w:t>
      </w:r>
      <w:r>
        <w:t xml:space="preserve">approximation, not a physical free energy, and cross-receptor score</w:t>
      </w:r>
      <w:r>
        <w:t xml:space="preserve"> </w:t>
      </w:r>
      <w:r>
        <w:t xml:space="preserve">comparisons carry additional uncertainty beyond the single-receptor ranking</w:t>
      </w:r>
      <w:r>
        <w:t xml:space="preserve"> </w:t>
      </w:r>
      <w:r>
        <w:t xml:space="preserve">use case the method was built for; our confidence in the RARG result rests</w:t>
      </w:r>
      <w:r>
        <w:t xml:space="preserve"> </w:t>
      </w:r>
      <w:r>
        <w:t xml:space="preserve">on its consistency across six independent ligands rather than on any single</w:t>
      </w:r>
      <w:r>
        <w:t xml:space="preserve"> </w:t>
      </w:r>
      <w:r>
        <w:t xml:space="preserve">score. Third, both receptor structures used here are single static</w:t>
      </w:r>
      <w:r>
        <w:t xml:space="preserve"> </w:t>
      </w:r>
      <w:r>
        <w:t xml:space="preserve">crystallographic snapshots (no induced-fit or ensemble modeling), and the</w:t>
      </w:r>
      <w:r>
        <w:t xml:space="preserve"> </w:t>
      </w:r>
      <w:r>
        <w:t xml:space="preserve">RARG structure required standard handling of one unresolved side chain and</w:t>
      </w:r>
      <w:r>
        <w:t xml:space="preserve"> </w:t>
      </w:r>
      <w:r>
        <w:t xml:space="preserve">several alternate-conformation residues. Fourth, the eight-descriptor</w:t>
      </w:r>
      <w:r>
        <w:t xml:space="preserve"> </w:t>
      </w:r>
      <w:r>
        <w:t xml:space="preserve">fpocket fingerprint is a coarse proxy for true three-dimensional pocket</w:t>
      </w:r>
      <w:r>
        <w:t xml:space="preserve"> </w:t>
      </w:r>
      <w:r>
        <w:t xml:space="preserve">shape and electrostatic complementarity; purpose-built pocket-comparison</w:t>
      </w:r>
      <w:r>
        <w:t xml:space="preserve"> </w:t>
      </w:r>
      <w:r>
        <w:t xml:space="preserve">methods (e.g., IsoMIF, KRIPO, ProBiS) would provide a more rigorous, if more</w:t>
      </w:r>
      <w:r>
        <w:t xml:space="preserve"> </w:t>
      </w:r>
      <w:r>
        <w:t xml:space="preserve">computationally expensive, comparison. Fifth, bulk tissue RNA expression</w:t>
      </w:r>
      <w:r>
        <w:t xml:space="preserve"> </w:t>
      </w:r>
      <w:r>
        <w:t xml:space="preserve">(Human Protein Atlas, GTEx-derived) does not resolve dorsal root</w:t>
      </w:r>
      <w:r>
        <w:t xml:space="preserve"> </w:t>
      </w:r>
      <w:r>
        <w:t xml:space="preserve">ganglion/peripheral nerve-terminal expression specifically — the tissue</w:t>
      </w:r>
      <w:r>
        <w:t xml:space="preserve"> </w:t>
      </w:r>
      <w:r>
        <w:t xml:space="preserve">compartment most relevant to a topical analgesic’s actual site of action —</w:t>
      </w:r>
      <w:r>
        <w:t xml:space="preserve"> </w:t>
      </w:r>
      <w:r>
        <w:t xml:space="preserve">so this screen captures skin-tissue co-localization risk rather than</w:t>
      </w:r>
      <w:r>
        <w:t xml:space="preserve"> </w:t>
      </w:r>
      <w:r>
        <w:t xml:space="preserve">nerve-terminal co-expression risk. Sixth, only the highest-confidence tier</w:t>
      </w:r>
      <w:r>
        <w:t xml:space="preserve"> </w:t>
      </w:r>
      <w:r>
        <w:t xml:space="preserve">of candidate genes (26 of 118 that passed the initial druggability filter)</w:t>
      </w:r>
      <w:r>
        <w:t xml:space="preserve"> </w:t>
      </w:r>
      <w:r>
        <w:t xml:space="preserve">was screened; several biologically plausible pain/inflammation-relevant</w:t>
      </w:r>
      <w:r>
        <w:t xml:space="preserve"> </w:t>
      </w:r>
      <w:r>
        <w:t xml:space="preserve">candidates identified at the target-list stage (cyclooxygenase-1/PTGS1,</w:t>
      </w:r>
      <w:r>
        <w:t xml:space="preserve"> </w:t>
      </w:r>
      <w:r>
        <w:t xml:space="preserve">the leukotriene B4 receptors LTB4R/LTB4R2, the niacin receptors HCAR2/HCAR3)</w:t>
      </w:r>
      <w:r>
        <w:t xml:space="preserve"> </w:t>
      </w:r>
      <w:r>
        <w:t xml:space="preserve">have not yet been evaluated. Seventh, the TRPV1 EC50 values used to order</w:t>
      </w:r>
      <w:r>
        <w:t xml:space="preserve"> </w:t>
      </w:r>
      <w:r>
        <w:t xml:space="preserve">the reference ligand series (Table 2) were compiled from public</w:t>
      </w:r>
      <w:r>
        <w:t xml:space="preserve"> </w:t>
      </w:r>
      <w:r>
        <w:t xml:space="preserve">bioactivity/literature sources without confirming that all seven were</w:t>
      </w:r>
      <w:r>
        <w:t xml:space="preserve"> </w:t>
      </w:r>
      <w:r>
        <w:t xml:space="preserve">measured in a directly comparable assay format; the series is used here</w:t>
      </w:r>
      <w:r>
        <w:t xml:space="preserve"> </w:t>
      </w:r>
      <w:r>
        <w:t xml:space="preserve">qualitatively, to span a wide potency range, and the EC50 column should not</w:t>
      </w:r>
      <w:r>
        <w:t xml:space="preserve"> </w:t>
      </w:r>
      <w:r>
        <w:t xml:space="preserve">be read as a precisely comparable quantitative scale across compounds</w:t>
      </w:r>
      <w:r>
        <w:t xml:space="preserve"> </w:t>
      </w:r>
      <w:r>
        <w:t xml:space="preserve">without checking primary sources for each value. Eighth, the ESM-2</w:t>
      </w:r>
      <w:r>
        <w:t xml:space="preserve"> </w:t>
      </w:r>
      <w:r>
        <w:t xml:space="preserve">representation comparison (Sections 2.6/3.5) yields one embedding per</w:t>
      </w:r>
      <w:r>
        <w:t xml:space="preserve"> </w:t>
      </w:r>
      <w:r>
        <w:t xml:space="preserve">protein with no ensemble or uncertainty estimate, so the ~0.03–0.04 spread</w:t>
      </w:r>
      <w:r>
        <w:t xml:space="preserve"> </w:t>
      </w:r>
      <w:r>
        <w:t xml:space="preserve">between TRPV2–4 and TRPV5/6 should be treated as suggestive rather than a</w:t>
      </w:r>
      <w:r>
        <w:t xml:space="preserve"> </w:t>
      </w:r>
      <w:r>
        <w:t xml:space="preserve">statistically tested separation (no ground-truth labels exist here on which</w:t>
      </w:r>
      <w:r>
        <w:t xml:space="preserve"> </w:t>
      </w:r>
      <w:r>
        <w:t xml:space="preserve">to build a discrimination check of the kind used in Section 3.4); TRPV6’s</w:t>
      </w:r>
      <w:r>
        <w:t xml:space="preserve"> </w:t>
      </w:r>
      <w:r>
        <w:t xml:space="preserve">comparison uses one position fewer (3 versus 4) because of a real alignment</w:t>
      </w:r>
      <w:r>
        <w:t xml:space="preserve"> </w:t>
      </w:r>
      <w:r>
        <w:t xml:space="preserve">gap; and the window size (±2 residues) was not tuned, so a narrower or</w:t>
      </w:r>
      <w:r>
        <w:t xml:space="preserve"> </w:t>
      </w:r>
      <w:r>
        <w:t xml:space="preserve">wider window could shift the balance between substitution-specific and</w:t>
      </w:r>
      <w:r>
        <w:t xml:space="preserve"> </w:t>
      </w:r>
      <w:r>
        <w:t xml:space="preserve">local-context signal discussed in Section 3.5, meaning a sensitivity check</w:t>
      </w:r>
      <w:r>
        <w:t xml:space="preserve"> </w:t>
      </w:r>
      <w:r>
        <w:t xml:space="preserve">is needed before leaning on this method for a stronger claim. Applying the</w:t>
      </w:r>
      <w:r>
        <w:t xml:space="preserve"> </w:t>
      </w:r>
      <w:r>
        <w:t xml:space="preserve">same approach to the RARG/MMP3 off-target comparison is not possible by</w:t>
      </w:r>
      <w:r>
        <w:t xml:space="preserve"> </w:t>
      </w:r>
      <w:r>
        <w:t xml:space="preserve">construction: per-residue ESM comparison requires a genuine sequence</w:t>
      </w:r>
      <w:r>
        <w:t xml:space="preserve"> </w:t>
      </w:r>
      <w:r>
        <w:t xml:space="preserve">alignment between homologous proteins, and RARG and MMP3 are unrelated to</w:t>
      </w:r>
      <w:r>
        <w:t xml:space="preserve"> </w:t>
      </w:r>
      <w:r>
        <w:t xml:space="preserve">TRPV1 by sequence — which is precisely why the geometric fpocket screen was</w:t>
      </w:r>
      <w:r>
        <w:t xml:space="preserve"> </w:t>
      </w:r>
      <w:r>
        <w:t xml:space="preserve">used for them.</w:t>
      </w:r>
    </w:p>
    <w:p>
      <w:pPr>
        <w:pStyle w:val="BodyText"/>
      </w:pPr>
      <w:r>
        <w:t xml:space="preserve">Despite these caveats, the practical implication for a topical TRPV1</w:t>
      </w:r>
      <w:r>
        <w:t xml:space="preserve"> </w:t>
      </w:r>
      <w:r>
        <w:t xml:space="preserve">program is direct for RARG: a counter-screen (at minimum, a</w:t>
      </w:r>
      <w:r>
        <w:t xml:space="preserve"> </w:t>
      </w:r>
      <w:r>
        <w:t xml:space="preserve">literature/bioactivity-database check; ideally a binding or transactivation</w:t>
      </w:r>
      <w:r>
        <w:t xml:space="preserve"> </w:t>
      </w:r>
      <w:r>
        <w:t xml:space="preserve">assay) is a reasonable candidate for early prioritization for any compound</w:t>
      </w:r>
      <w:r>
        <w:t xml:space="preserve"> </w:t>
      </w:r>
      <w:r>
        <w:t xml:space="preserve">advancing in this chemical series, rather than a question deferred until</w:t>
      </w:r>
      <w:r>
        <w:t xml:space="preserve"> </w:t>
      </w:r>
      <w:r>
        <w:t xml:space="preserve">after a lead is already selected — precisely because it is cheap to ask</w:t>
      </w:r>
      <w:r>
        <w:t xml:space="preserve"> </w:t>
      </w:r>
      <w:r>
        <w:t xml:space="preserve">early, currently unanswered, and now supported by two independent</w:t>
      </w:r>
      <w:r>
        <w:t xml:space="preserve"> </w:t>
      </w:r>
      <w:r>
        <w:t xml:space="preserve">computational lines of evidence (pocket similarity/cross-docking and the</w:t>
      </w:r>
      <w:r>
        <w:t xml:space="preserve"> </w:t>
      </w:r>
      <w:r>
        <w:t xml:space="preserve">ground-truth discrimination check, Section 3.4) rather than one. MMP3 is a</w:t>
      </w:r>
      <w:r>
        <w:t xml:space="preserve"> </w:t>
      </w:r>
      <w:r>
        <w:t xml:space="preserve">different case: the ground-truth check (Section 3.4) shows the docking</w:t>
      </w:r>
      <w:r>
        <w:t xml:space="preserve"> </w:t>
      </w:r>
      <w:r>
        <w:t xml:space="preserve">protocol cannot separate known MMP3 binders from non-binders even with a</w:t>
      </w:r>
      <w:r>
        <w:t xml:space="preserve"> </w:t>
      </w:r>
      <w:r>
        <w:t xml:space="preserve">zinc-aware scoring function, which means the Table 2 cross-docking signal</w:t>
      </w:r>
      <w:r>
        <w:t xml:space="preserve"> </w:t>
      </w:r>
      <w:r>
        <w:t xml:space="preserve">for MMP3 should not be used to prioritize or deprioritize a counter-screen</w:t>
      </w:r>
      <w:r>
        <w:t xml:space="preserve"> </w:t>
      </w:r>
      <w:r>
        <w:t xml:space="preserve">decision either way — it is not evidence of risk, but it is also not</w:t>
      </w:r>
      <w:r>
        <w:t xml:space="preserve"> </w:t>
      </w:r>
      <w:r>
        <w:t xml:space="preserve">evidence of safety, because the method that produced it has not been shown</w:t>
      </w:r>
      <w:r>
        <w:t xml:space="preserve"> </w:t>
      </w:r>
      <w:r>
        <w:t xml:space="preserve">to work on this target. A literature/bioactivity-database check for MMP3</w:t>
      </w:r>
      <w:r>
        <w:t xml:space="preserve"> </w:t>
      </w:r>
      <w:r>
        <w:t xml:space="preserve">remains cheap and reasonable to do regardless, since it does not depend on</w:t>
      </w:r>
      <w:r>
        <w:t xml:space="preserve"> </w:t>
      </w:r>
      <w:r>
        <w:t xml:space="preserve">the docking protocol at all; an enzymatic-inhibition assay is a matter of</w:t>
      </w:r>
      <w:r>
        <w:t xml:space="preserve"> </w:t>
      </w:r>
      <w:r>
        <w:t xml:space="preserve">general due diligence for this chemotype rather than something this</w:t>
      </w:r>
      <w:r>
        <w:t xml:space="preserve"> </w:t>
      </w:r>
      <w:r>
        <w:t xml:space="preserve">screen’s docking result specifically motivates. Because the RARG signal</w:t>
      </w:r>
      <w:r>
        <w:t xml:space="preserve"> </w:t>
      </w:r>
      <w:r>
        <w:t xml:space="preserve">spans most of the tested series rather than concentrating in smaller</w:t>
      </w:r>
      <w:r>
        <w:t xml:space="preserve"> </w:t>
      </w:r>
      <w:r>
        <w:t xml:space="preserve">ligands, it should not be assumed that a topical-delivery-optimized</w:t>
      </w:r>
      <w:r>
        <w:t xml:space="preserve"> </w:t>
      </w:r>
      <w:r>
        <w:t xml:space="preserve">molecular-weight/logP selection window (200–450 Da, logP 1.0–4.0, already</w:t>
      </w:r>
      <w:r>
        <w:t xml:space="preserve"> </w:t>
      </w:r>
      <w:r>
        <w:t xml:space="preserve">used elsewhere in this program’s chemical library curation for</w:t>
      </w:r>
      <w:r>
        <w:t xml:space="preserve"> </w:t>
      </w:r>
      <w:r>
        <w:t xml:space="preserve">permeability reasons [17,27]) mitigates this particular risk merely by</w:t>
      </w:r>
      <w:r>
        <w:t xml:space="preserve"> </w:t>
      </w:r>
      <w:r>
        <w:t xml:space="preserve">favoring smaller candidates. More broadly, the pipeline described here — tissue</w:t>
      </w:r>
      <w:r>
        <w:t xml:space="preserve"> </w:t>
      </w:r>
      <w:r>
        <w:t xml:space="preserve">expression filtering, cavity-detection-based pocket comparison, and</w:t>
      </w:r>
      <w:r>
        <w:t xml:space="preserve"> </w:t>
      </w:r>
      <w:r>
        <w:t xml:space="preserve">targeted cross-docking — required no experimental data beyond structures</w:t>
      </w:r>
      <w:r>
        <w:t xml:space="preserve"> </w:t>
      </w:r>
      <w:r>
        <w:t xml:space="preserve">already in the public domain and tools already validated for the primary</w:t>
      </w:r>
      <w:r>
        <w:t xml:space="preserve"> </w:t>
      </w:r>
      <w:r>
        <w:t xml:space="preserve">target, making it a low-cost addition to early-stage off-target triage for</w:t>
      </w:r>
      <w:r>
        <w:t xml:space="preserve"> </w:t>
      </w:r>
      <w:r>
        <w:t xml:space="preserve">any topical or otherwise spatially-restricted small-molecule program, not</w:t>
      </w:r>
      <w:r>
        <w:t xml:space="preserve"> </w:t>
      </w:r>
      <w:r>
        <w:t xml:space="preserve">only this one.</w:t>
      </w:r>
    </w:p>
    <w:bookmarkEnd w:id="24"/>
    <w:bookmarkStart w:id="25" w:name="conclusions"/>
    <w:p>
      <w:pPr>
        <w:pStyle w:val="Heading2"/>
      </w:pPr>
      <w:r>
        <w:t xml:space="preserve">5. Conclusions</w:t>
      </w:r>
    </w:p>
    <w:p>
      <w:pPr>
        <w:pStyle w:val="FirstParagraph"/>
      </w:pPr>
      <w:r>
        <w:t xml:space="preserve">A whole-protein sequence-identity ranking of TRPV1’s paralog family</w:t>
      </w:r>
      <w:r>
        <w:t xml:space="preserve"> </w:t>
      </w:r>
      <w:r>
        <w:t xml:space="preserve">correctly flags the family as a safety-relevant group but misorders the</w:t>
      </w:r>
      <w:r>
        <w:t xml:space="preserve"> </w:t>
      </w:r>
      <w:r>
        <w:t xml:space="preserve">relative binding-site risk within it, because the functionally relevant</w:t>
      </w:r>
      <w:r>
        <w:t xml:space="preserve"> </w:t>
      </w:r>
      <w:r>
        <w:t xml:space="preserve">region (the vanilloid pocket) is conserved or diverged at a different rate</w:t>
      </w:r>
      <w:r>
        <w:t xml:space="preserve"> </w:t>
      </w:r>
      <w:r>
        <w:t xml:space="preserve">than the protein overall. Off-target risk for a topical TRPV1 program is</w:t>
      </w:r>
      <w:r>
        <w:t xml:space="preserve"> </w:t>
      </w:r>
      <w:r>
        <w:t xml:space="preserve">not confined to this family: a structure-based, expression-informed screen</w:t>
      </w:r>
      <w:r>
        <w:t xml:space="preserve"> </w:t>
      </w:r>
      <w:r>
        <w:t xml:space="preserve">identified RARG and MMP3 — both proteins unrelated to TRPV1 by sequence —</w:t>
      </w:r>
      <w:r>
        <w:t xml:space="preserve"> </w:t>
      </w:r>
      <w:r>
        <w:t xml:space="preserve">as showing Vina docking scores against most of the program’s reference</w:t>
      </w:r>
      <w:r>
        <w:t xml:space="preserve"> </w:t>
      </w:r>
      <w:r>
        <w:t xml:space="preserve">agonist series that are numerically comparable to those against TRPV1</w:t>
      </w:r>
      <w:r>
        <w:t xml:space="preserve"> </w:t>
      </w:r>
      <w:r>
        <w:t xml:space="preserve">itself, with resiniferatoxin (the bulkiest, most structurally complex</w:t>
      </w:r>
      <w:r>
        <w:t xml:space="preserve"> </w:t>
      </w:r>
      <w:r>
        <w:t xml:space="preserve">ligand tested) as the consistent outlier at both. A subsequent</w:t>
      </w:r>
      <w:r>
        <w:t xml:space="preserve"> </w:t>
      </w:r>
      <w:r>
        <w:t xml:space="preserve">ground-truth discrimination check (Section 3.4) separates the two</w:t>
      </w:r>
      <w:r>
        <w:t xml:space="preserve"> </w:t>
      </w:r>
      <w:r>
        <w:t xml:space="preserve">findings: RARG showed genuine active/inactive separation by docking score</w:t>
      </w:r>
      <w:r>
        <w:t xml:space="preserve"> </w:t>
      </w:r>
      <w:r>
        <w:t xml:space="preserve">(ROC-AUC 0.811), independently corroborating the cross-docking result,</w:t>
      </w:r>
      <w:r>
        <w:t xml:space="preserve"> </w:t>
      </w:r>
      <w:r>
        <w:t xml:space="preserve">while MMP3 did not (ROC-AUC 0.503, unchanged near-chance at 0.551 even</w:t>
      </w:r>
      <w:r>
        <w:t xml:space="preserve"> </w:t>
      </w:r>
      <w:r>
        <w:t xml:space="preserve">under a zinc-coordination-aware scoring function). This is a computational</w:t>
      </w:r>
      <w:r>
        <w:t xml:space="preserve"> </w:t>
      </w:r>
      <w:r>
        <w:t xml:space="preserve">hypothesis, not a demonstration of actual binding, and does not by itself</w:t>
      </w:r>
      <w:r>
        <w:t xml:space="preserve"> </w:t>
      </w:r>
      <w:r>
        <w:t xml:space="preserve">establish RARG as a confirmed safety risk; for MMP3 it does not establish</w:t>
      </w:r>
      <w:r>
        <w:t xml:space="preserve"> </w:t>
      </w:r>
      <w:r>
        <w:t xml:space="preserve">a risk either, precisely because the method’s failure on the discrimination</w:t>
      </w:r>
      <w:r>
        <w:t xml:space="preserve"> </w:t>
      </w:r>
      <w:r>
        <w:t xml:space="preserve">check leaves the underlying cross-docking signal uninterpretable rather</w:t>
      </w:r>
      <w:r>
        <w:t xml:space="preserve"> </w:t>
      </w:r>
      <w:r>
        <w:t xml:space="preserve">than negative. We recommend RARG be carried forward as a priority</w:t>
      </w:r>
      <w:r>
        <w:t xml:space="preserve"> </w:t>
      </w:r>
      <w:r>
        <w:t xml:space="preserve">candidate for dedicated experimental counter-screening, and MMP3 be</w:t>
      </w:r>
      <w:r>
        <w:t xml:space="preserve"> </w:t>
      </w:r>
      <w:r>
        <w:t xml:space="preserve">carried forward as an open, methodologically unresolved question — worth a</w:t>
      </w:r>
      <w:r>
        <w:t xml:space="preserve"> </w:t>
      </w:r>
      <w:r>
        <w:t xml:space="preserve">cheap literature/bioactivity check but not weighted by this study’s</w:t>
      </w:r>
      <w:r>
        <w:t xml:space="preserve"> </w:t>
      </w:r>
      <w:r>
        <w:t xml:space="preserve">docking result in either direction — pending a docking protocol shown to</w:t>
      </w:r>
      <w:r>
        <w:t xml:space="preserve"> </w:t>
      </w:r>
      <w:r>
        <w:t xml:space="preserve">discriminate known MMP3 binders or direct experimental data. We propose</w:t>
      </w:r>
      <w:r>
        <w:t xml:space="preserve"> </w:t>
      </w:r>
      <w:r>
        <w:t xml:space="preserve">the underlying pipeline, including the ground-truth discrimination check</w:t>
      </w:r>
      <w:r>
        <w:t xml:space="preserve"> </w:t>
      </w:r>
      <w:r>
        <w:t xml:space="preserve">that distinguished these two outcomes, as a</w:t>
      </w:r>
      <w:r>
        <w:t xml:space="preserve"> </w:t>
      </w:r>
      <w:r>
        <w:t xml:space="preserve">reusable, low-cost pre-lead hypothesis-generating triage step for other</w:t>
      </w:r>
      <w:r>
        <w:t xml:space="preserve"> </w:t>
      </w:r>
      <w:r>
        <w:t xml:space="preserve">topical small-molecule discovery programs.</w:t>
      </w:r>
    </w:p>
    <w:bookmarkEnd w:id="25"/>
    <w:bookmarkStart w:id="26" w:name="author-contributions"/>
    <w:p>
      <w:pPr>
        <w:pStyle w:val="Heading2"/>
      </w:pPr>
      <w:r>
        <w:t xml:space="preserve">Author contributions</w:t>
      </w:r>
    </w:p>
    <w:p>
      <w:pPr>
        <w:pStyle w:val="FirstParagraph"/>
      </w:pPr>
      <w:r>
        <w:rPr>
          <w:i/>
          <w:iCs/>
        </w:rPr>
        <w:t xml:space="preserve">[to complete]</w:t>
      </w:r>
    </w:p>
    <w:bookmarkEnd w:id="26"/>
    <w:bookmarkStart w:id="27" w:name="data-and-code-availability"/>
    <w:p>
      <w:pPr>
        <w:pStyle w:val="Heading2"/>
      </w:pPr>
      <w:r>
        <w:t xml:space="preserve">Data and code availability</w:t>
      </w:r>
    </w:p>
    <w:p>
      <w:pPr>
        <w:pStyle w:val="FirstParagraph"/>
      </w:pPr>
      <w:r>
        <w:t xml:space="preserve">All scripts, intermediate data schemas, and summary result tables</w:t>
      </w:r>
      <w:r>
        <w:t xml:space="preserve"> </w:t>
      </w:r>
      <w:r>
        <w:t xml:space="preserve">underlying this work are collected in the</w:t>
      </w:r>
      <w:r>
        <w:t xml:space="preserve"> </w:t>
      </w:r>
      <w:r>
        <w:rPr>
          <w:rStyle w:val="VerbatimChar"/>
        </w:rPr>
        <w:t xml:space="preserve">trpv1-offtarget-safety-screen</w:t>
      </w:r>
      <w:r>
        <w:t xml:space="preserve"> </w:t>
      </w:r>
      <w:r>
        <w:t xml:space="preserve">repository (https://github.com/danil25-stack/trpv1-offtarget-safety-screen),</w:t>
      </w:r>
      <w:r>
        <w:t xml:space="preserve"> </w:t>
      </w:r>
      <w:r>
        <w:t xml:space="preserve">laid out as follows:</w:t>
      </w:r>
      <w:r>
        <w:t xml:space="preserve"> </w:t>
      </w:r>
      <w:r>
        <w:rPr>
          <w:rStyle w:val="VerbatimChar"/>
        </w:rPr>
        <w:t xml:space="preserve">target_validation/</w:t>
      </w:r>
      <w:r>
        <w:t xml:space="preserve"> </w:t>
      </w:r>
      <w:r>
        <w:t xml:space="preserve">(pocket comparison, ChEMBL</w:t>
      </w:r>
      <w:r>
        <w:t xml:space="preserve"> </w:t>
      </w:r>
      <w:r>
        <w:t xml:space="preserve">bioactivity, statistics, figures, writeups, manuscript),</w:t>
      </w:r>
      <w:r>
        <w:t xml:space="preserve"> </w:t>
      </w:r>
      <w:r>
        <w:rPr>
          <w:rStyle w:val="VerbatimChar"/>
        </w:rPr>
        <w:t xml:space="preserve">docking/</w:t>
      </w:r>
      <w:r>
        <w:t xml:space="preserve"> </w:t>
      </w:r>
      <w:r>
        <w:t xml:space="preserve">(Vina and AD4Zn cross-docking against the flagged off-targets),</w:t>
      </w:r>
      <w:r>
        <w:t xml:space="preserve"> </w:t>
      </w:r>
      <w:r>
        <w:rPr>
          <w:rStyle w:val="VerbatimChar"/>
        </w:rPr>
        <w:t xml:space="preserve">common/</w:t>
      </w:r>
      <w:r>
        <w:t xml:space="preserve"> </w:t>
      </w:r>
      <w:r>
        <w:t xml:space="preserve">(Open Targets API client), and</w:t>
      </w:r>
      <w:r>
        <w:t xml:space="preserve"> </w:t>
      </w:r>
      <w:r>
        <w:rPr>
          <w:rStyle w:val="VerbatimChar"/>
        </w:rPr>
        <w:t xml:space="preserve">docker/</w:t>
      </w:r>
      <w:r>
        <w:t xml:space="preserve"> </w:t>
      </w:r>
      <w:r>
        <w:t xml:space="preserve">(conda environments and</w:t>
      </w:r>
      <w:r>
        <w:t xml:space="preserve"> </w:t>
      </w:r>
      <w:r>
        <w:t xml:space="preserve">Dockerfiles for the two compute stages, docking and ESM). Raw and</w:t>
      </w:r>
      <w:r>
        <w:t xml:space="preserve"> </w:t>
      </w:r>
      <w:r>
        <w:t xml:space="preserve">intermediate data (structure files, ChEMBL pulls, docking poses) are not</w:t>
      </w:r>
      <w:r>
        <w:t xml:space="preserve"> </w:t>
      </w:r>
      <w:r>
        <w:t xml:space="preserve">included — rerunning the scripts regenerates them; only final figures and</w:t>
      </w:r>
      <w:r>
        <w:t xml:space="preserve"> </w:t>
      </w:r>
      <w:r>
        <w:t xml:space="preserve">written results are kept. The pocket-position mapping logic is covered by</w:t>
      </w:r>
      <w:r>
        <w:t xml:space="preserve"> </w:t>
      </w:r>
      <w:r>
        <w:t xml:space="preserve">unit tests with no GPU or network dependency (</w:t>
      </w:r>
      <w:r>
        <w:rPr>
          <w:rStyle w:val="VerbatimChar"/>
        </w:rPr>
        <w:t xml:space="preserve">pytest target_validation/</w:t>
      </w:r>
      <w:r>
        <w:t xml:space="preserve">),</w:t>
      </w:r>
      <w:r>
        <w:t xml:space="preserve"> </w:t>
      </w:r>
      <w:r>
        <w:t xml:space="preserve">which run in CI (</w:t>
      </w:r>
      <w:r>
        <w:rPr>
          <w:rStyle w:val="VerbatimChar"/>
        </w:rPr>
        <w:t xml:space="preserve">.github/workflows/tests.yml</w:t>
      </w:r>
      <w:r>
        <w:t xml:space="preserve">). Three cross-references</w:t>
      </w:r>
      <w:r>
        <w:t xml:space="preserve"> </w:t>
      </w:r>
      <w:r>
        <w:t xml:space="preserve">point to files in the parent (private) project and are not needed to</w:t>
      </w:r>
      <w:r>
        <w:t xml:space="preserve"> </w:t>
      </w:r>
      <w:r>
        <w:t xml:space="preserve">reproduce anything in this repository: the TRPV1 MD residence-time pilot</w:t>
      </w:r>
      <w:r>
        <w:t xml:space="preserve"> </w:t>
      </w:r>
      <w:r>
        <w:t xml:space="preserve">(</w:t>
      </w:r>
      <w:r>
        <w:rPr>
          <w:rStyle w:val="VerbatimChar"/>
        </w:rPr>
        <w:t xml:space="preserve">md_residence_time/STATUS.md</w:t>
      </w:r>
      <w:r>
        <w:t xml:space="preserve">), the docking smoke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docking/SMOKE_TEST.md</w:t>
      </w:r>
      <w:r>
        <w:t xml:space="preserve">), and the ZINC diversity-triage writeup</w:t>
      </w:r>
      <w:r>
        <w:t xml:space="preserve"> </w:t>
      </w:r>
      <w:r>
        <w:t xml:space="preserve">(</w:t>
      </w:r>
      <w:r>
        <w:rPr>
          <w:rStyle w:val="VerbatimChar"/>
        </w:rPr>
        <w:t xml:space="preserve">docking/ZINC_TRIAGE.md</w:t>
      </w:r>
      <w:r>
        <w:t xml:space="preserve">). The repository is public; link availability was</w:t>
      </w:r>
      <w:r>
        <w:t xml:space="preserve"> </w:t>
      </w:r>
      <w:r>
        <w:t xml:space="preserve">checked on 8 October 2026. Parent-project material referenced above remains</w:t>
      </w:r>
      <w:r>
        <w:t xml:space="preserve"> </w:t>
      </w:r>
      <w:r>
        <w:t xml:space="preserve">private and is available from the corresponding author on request.</w:t>
      </w:r>
    </w:p>
    <w:p>
      <w:pPr>
        <w:pStyle w:val="BodyText"/>
      </w:pPr>
      <w:r>
        <w:t xml:space="preserve">Provenance of each result is listed in the table below.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Paralog 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target_validation/build_profile.py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target_validation/profiles/TRPV1.md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Skin candidate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target_validation/fetch_skin_targets.py</w:t>
            </w:r>
          </w:p>
        </w:tc>
        <w:tc>
          <w:tcPr/>
          <w:p>
            <w:pPr>
              <w:pStyle w:val="Compact"/>
            </w:pPr>
            <w:r>
              <w:t xml:space="preserve">skin-target annotation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 structure retrieval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target_validation/fetch_tier1_structures.py</w:t>
            </w:r>
          </w:p>
        </w:tc>
        <w:tc>
          <w:tcPr/>
          <w:p>
            <w:pPr>
              <w:pStyle w:val="Compact"/>
            </w:pPr>
            <w:r>
              <w:t xml:space="preserve">receptor structure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Pocket comparison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target_validation/compare_pockets.py</w:t>
            </w:r>
          </w:p>
        </w:tc>
        <w:tc>
          <w:tcPr/>
          <w:p>
            <w:pPr>
              <w:pStyle w:val="Compact"/>
            </w:pPr>
            <w:r>
              <w:t xml:space="preserve">pocket-comparison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Docking box definition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target_validation/box_from_pocket.py</w:t>
            </w:r>
          </w:p>
        </w:tc>
        <w:tc>
          <w:tcPr/>
          <w:p>
            <w:pPr>
              <w:pStyle w:val="Compact"/>
            </w:pPr>
            <w:r>
              <w:t xml:space="preserve">per-target box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Cross-docking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docking/redock_offtarget.py</w:t>
            </w:r>
          </w:p>
        </w:tc>
        <w:tc>
          <w:tcPr/>
          <w:p>
            <w:pPr>
              <w:pStyle w:val="Compact"/>
            </w:pPr>
            <w:r>
              <w:t xml:space="preserve">per-target docking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ChEMBL active/inactive retrieval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target_validation/fetch_chembl_bioactivity.py</w:t>
            </w:r>
          </w:p>
        </w:tc>
        <w:tc>
          <w:tcPr/>
          <w:p>
            <w:pPr>
              <w:pStyle w:val="Compact"/>
            </w:pPr>
            <w:r>
              <w:t xml:space="preserve">per-target classified bioactivity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Property-matched sampling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target_validation/sample_offtarget_ligands.py</w:t>
            </w:r>
          </w:p>
        </w:tc>
        <w:tc>
          <w:tcPr/>
          <w:p>
            <w:pPr>
              <w:pStyle w:val="Compact"/>
            </w:pPr>
            <w:r>
              <w:t xml:space="preserve">per-target docking-validation ligand 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Ground-truth discrimination docking (Vina)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docking/run_offtarget_validation.py</w:t>
            </w:r>
          </w:p>
        </w:tc>
        <w:tc>
          <w:tcPr/>
          <w:p>
            <w:pPr>
              <w:pStyle w:val="Compact"/>
            </w:pPr>
            <w:r>
              <w:t xml:space="preserve">per-target discrimination-check results, ROC-AUC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Ground-truth discrimination docking (AD4Zn)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docking/run_ad4zn_validation.py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docking/prepare_gpf4zn_lite.py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docking/zinc_pseudo.py</w:t>
            </w:r>
          </w:p>
        </w:tc>
        <w:tc>
          <w:tcPr/>
          <w:p>
            <w:pPr>
              <w:pStyle w:val="Compact"/>
            </w:pPr>
            <w:r>
              <w:t xml:space="preserve">MMP3 AD4Zn discrimination-check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Discrimination statistics (bootstrap CI, Mann-Whitney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, PR-AUC, EC50-mixing check)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target_validation/discrimination_stats.py</w:t>
            </w:r>
          </w:p>
        </w:tc>
        <w:tc>
          <w:tcPr/>
          <w:p>
            <w:pPr>
              <w:pStyle w:val="Compact"/>
            </w:pPr>
            <w:r>
              <w:t xml:space="preserve">Table 3 statistics;</w:t>
            </w:r>
            <w:r>
              <w:t xml:space="preserve"> </w:t>
            </w:r>
            <w:r>
              <w:rPr>
                <w:rStyle w:val="VerbatimChar"/>
              </w:rPr>
              <w:t xml:space="preserve">figures/roc_curves.png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figures/score_distributions.png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funnel and pocket-shape figures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target_validation/render_pocket_figure.py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figures/pipeline_funnel.png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figures/pocket_shapes.png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Pocket-residue alignment across paralogs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target_validation/pocket_residue_alignment.py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target_validation/pocket_residue_alignment.csv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Local/global ESM-2 representation similarity (Table 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target_validation/esm_pocket_embedding_similarity.py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target_validation/esm_pocket_similarity.csv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target_validation/esm_pocket_similarity.md</w:t>
            </w:r>
          </w:p>
        </w:tc>
      </w:tr>
    </w:tbl>
    <w:bookmarkEnd w:id="27"/>
    <w:bookmarkStart w:id="28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rPr>
          <w:i/>
          <w:iCs/>
        </w:rPr>
        <w:t xml:space="preserve">[to complete]</w:t>
      </w:r>
    </w:p>
    <w:bookmarkEnd w:id="28"/>
    <w:bookmarkStart w:id="29" w:name="conflict-of-interest"/>
    <w:p>
      <w:pPr>
        <w:pStyle w:val="Heading2"/>
      </w:pPr>
      <w:r>
        <w:t xml:space="preserve">Conflict of interest</w:t>
      </w:r>
    </w:p>
    <w:p>
      <w:pPr>
        <w:pStyle w:val="FirstParagraph"/>
      </w:pPr>
      <w:r>
        <w:rPr>
          <w:i/>
          <w:iCs/>
        </w:rPr>
        <w:t xml:space="preserve">[to complete]</w:t>
      </w:r>
    </w:p>
    <w:bookmarkEnd w:id="29"/>
    <w:bookmarkStart w:id="30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Ochoa D, Hercules A, Carmona M, et al. The next-generation Open Targets</w:t>
      </w:r>
      <w:r>
        <w:t xml:space="preserve"> </w:t>
      </w:r>
      <w:r>
        <w:t xml:space="preserve">Platform: reimagined, redesigned, rebuilt.</w:t>
      </w:r>
      <w:r>
        <w:t xml:space="preserve"> </w:t>
      </w:r>
      <w:r>
        <w:rPr>
          <w:i/>
          <w:iCs/>
        </w:rPr>
        <w:t xml:space="preserve">Nucleic Acids Res.</w:t>
      </w:r>
      <w:r>
        <w:t xml:space="preserve"> </w:t>
      </w:r>
      <w:r>
        <w:t xml:space="preserve">2023;51(D1):D1353–D1359. doi:10.1093/nar/gkac1046</w:t>
      </w:r>
    </w:p>
    <w:p>
      <w:pPr>
        <w:pStyle w:val="Compact"/>
        <w:numPr>
          <w:ilvl w:val="0"/>
          <w:numId w:val="1001"/>
        </w:numPr>
      </w:pPr>
      <w:r>
        <w:t xml:space="preserve">Uhlén M, Fagerberg L, Hallström BM, et al. Tissue-based map of the human</w:t>
      </w:r>
      <w:r>
        <w:t xml:space="preserve"> </w:t>
      </w:r>
      <w:r>
        <w:t xml:space="preserve">proteome.</w:t>
      </w:r>
      <w:r>
        <w:t xml:space="preserve"> </w:t>
      </w:r>
      <w:r>
        <w:rPr>
          <w:i/>
          <w:iCs/>
        </w:rPr>
        <w:t xml:space="preserve">Science.</w:t>
      </w:r>
      <w:r>
        <w:t xml:space="preserve"> </w:t>
      </w:r>
      <w:r>
        <w:t xml:space="preserve">2015;347(6220):1260419. doi:10.1126/science.1260419</w:t>
      </w:r>
    </w:p>
    <w:p>
      <w:pPr>
        <w:pStyle w:val="Compact"/>
        <w:numPr>
          <w:ilvl w:val="0"/>
          <w:numId w:val="1001"/>
        </w:numPr>
      </w:pPr>
      <w:r>
        <w:t xml:space="preserve">Le Guilloux V, Schmidtke P, Tuffery P. Fpocket: an open source platform</w:t>
      </w:r>
      <w:r>
        <w:t xml:space="preserve"> </w:t>
      </w:r>
      <w:r>
        <w:t xml:space="preserve">for ligand pocket detection.</w:t>
      </w:r>
      <w:r>
        <w:t xml:space="preserve"> </w:t>
      </w:r>
      <w:r>
        <w:rPr>
          <w:i/>
          <w:iCs/>
        </w:rPr>
        <w:t xml:space="preserve">BMC Bioinformatics.</w:t>
      </w:r>
      <w:r>
        <w:t xml:space="preserve"> </w:t>
      </w:r>
      <w:r>
        <w:t xml:space="preserve">2009;10:168.</w:t>
      </w:r>
      <w:r>
        <w:t xml:space="preserve"> </w:t>
      </w:r>
      <w:r>
        <w:t xml:space="preserve">doi:10.1186/1471-2105-10-168</w:t>
      </w:r>
    </w:p>
    <w:p>
      <w:pPr>
        <w:pStyle w:val="Compact"/>
        <w:numPr>
          <w:ilvl w:val="0"/>
          <w:numId w:val="1001"/>
        </w:numPr>
      </w:pPr>
      <w:r>
        <w:t xml:space="preserve">Elokely K, Velisetty P, Delemotte L, Palovcak E, Klein ML, Rohacs T,</w:t>
      </w:r>
      <w:r>
        <w:t xml:space="preserve"> </w:t>
      </w:r>
      <w:r>
        <w:t xml:space="preserve">Carnevale V. Understanding TRPV1 activation by ligands: insights from</w:t>
      </w:r>
      <w:r>
        <w:t xml:space="preserve"> </w:t>
      </w:r>
      <w:r>
        <w:t xml:space="preserve">the binding modes of capsaicin and resiniferatoxin.</w:t>
      </w:r>
      <w:r>
        <w:t xml:space="preserve"> </w:t>
      </w:r>
      <w:r>
        <w:rPr>
          <w:i/>
          <w:iCs/>
        </w:rPr>
        <w:t xml:space="preserve">Proc Natl Acad Sci</w:t>
      </w:r>
      <w:r>
        <w:rPr>
          <w:i/>
          <w:iCs/>
        </w:rPr>
        <w:t xml:space="preserve"> </w:t>
      </w:r>
      <w:r>
        <w:rPr>
          <w:i/>
          <w:iCs/>
        </w:rPr>
        <w:t xml:space="preserve">U S A.</w:t>
      </w:r>
      <w:r>
        <w:t xml:space="preserve"> </w:t>
      </w:r>
      <w:r>
        <w:t xml:space="preserve">2016;113(2):E137–E145. doi:10.1073/pnas.1517288113</w:t>
      </w:r>
    </w:p>
    <w:p>
      <w:pPr>
        <w:pStyle w:val="Compact"/>
        <w:numPr>
          <w:ilvl w:val="0"/>
          <w:numId w:val="1001"/>
        </w:numPr>
      </w:pPr>
      <w:r>
        <w:t xml:space="preserve">Yang F, Xiao X, Cheng W, et al. Structural mechanism underlying</w:t>
      </w:r>
      <w:r>
        <w:t xml:space="preserve"> </w:t>
      </w:r>
      <w:r>
        <w:t xml:space="preserve">capsaicin binding and activation of the TRPV1 ion channel.</w:t>
      </w:r>
      <w:r>
        <w:t xml:space="preserve"> </w:t>
      </w:r>
      <w:r>
        <w:rPr>
          <w:i/>
          <w:iCs/>
        </w:rPr>
        <w:t xml:space="preserve">Nat Chem</w:t>
      </w:r>
      <w:r>
        <w:rPr>
          <w:i/>
          <w:iCs/>
        </w:rPr>
        <w:t xml:space="preserve"> </w:t>
      </w:r>
      <w:r>
        <w:rPr>
          <w:i/>
          <w:iCs/>
        </w:rPr>
        <w:t xml:space="preserve">Biol.</w:t>
      </w:r>
      <w:r>
        <w:t xml:space="preserve"> </w:t>
      </w:r>
      <w:r>
        <w:t xml:space="preserve">2015;11(7):518–524. doi:10.1038/nchembio.1835</w:t>
      </w:r>
    </w:p>
    <w:p>
      <w:pPr>
        <w:pStyle w:val="Compact"/>
        <w:numPr>
          <w:ilvl w:val="0"/>
          <w:numId w:val="1001"/>
        </w:numPr>
      </w:pPr>
      <w:r>
        <w:t xml:space="preserve">Berman HM, Westbrook J, Feng Z, et al. The Protein Data Bank.</w:t>
      </w:r>
      <w:r>
        <w:t xml:space="preserve"> </w:t>
      </w:r>
      <w:r>
        <w:rPr>
          <w:i/>
          <w:iCs/>
        </w:rPr>
        <w:t xml:space="preserve">Nucleic</w:t>
      </w:r>
      <w:r>
        <w:rPr>
          <w:i/>
          <w:iCs/>
        </w:rPr>
        <w:t xml:space="preserve"> </w:t>
      </w:r>
      <w:r>
        <w:rPr>
          <w:i/>
          <w:iCs/>
        </w:rPr>
        <w:t xml:space="preserve">Acids Res.</w:t>
      </w:r>
      <w:r>
        <w:t xml:space="preserve"> </w:t>
      </w:r>
      <w:r>
        <w:t xml:space="preserve">2000;28(1):235–242. doi:10.1093/nar/28.1.235</w:t>
      </w:r>
    </w:p>
    <w:p>
      <w:pPr>
        <w:pStyle w:val="Compact"/>
        <w:numPr>
          <w:ilvl w:val="0"/>
          <w:numId w:val="1001"/>
        </w:numPr>
      </w:pPr>
      <w:r>
        <w:t xml:space="preserve">UniProt Consortium. UniProt: the Universal Protein Knowledgebase in</w:t>
      </w:r>
    </w:p>
    <w:p>
      <w:pPr>
        <w:pStyle w:val="Compact"/>
        <w:numPr>
          <w:ilvl w:val="0"/>
          <w:numId w:val="1000"/>
        </w:numPr>
      </w:pPr>
      <w:r>
        <w:t xml:space="preserve">2025.</w:t>
      </w:r>
      <w:r>
        <w:t xml:space="preserve"> </w:t>
      </w:r>
      <w:r>
        <w:rPr>
          <w:i/>
          <w:iCs/>
        </w:rPr>
        <w:t xml:space="preserve">Nucleic Acids Res.</w:t>
      </w:r>
      <w:r>
        <w:t xml:space="preserve"> </w:t>
      </w:r>
      <w:r>
        <w:t xml:space="preserve">2025;53(D1):D609–D617.</w:t>
      </w:r>
      <w:r>
        <w:t xml:space="preserve"> </w:t>
      </w:r>
      <w:r>
        <w:t xml:space="preserve">doi:10.1093/nar/gkae1010</w:t>
      </w:r>
    </w:p>
    <w:p>
      <w:pPr>
        <w:pStyle w:val="Compact"/>
        <w:numPr>
          <w:ilvl w:val="0"/>
          <w:numId w:val="1001"/>
        </w:numPr>
      </w:pPr>
      <w:r>
        <w:t xml:space="preserve">Santos-Martins D, He Y, Eberhardt J, et al. Meeko: molecule</w:t>
      </w:r>
      <w:r>
        <w:t xml:space="preserve"> </w:t>
      </w:r>
      <w:r>
        <w:t xml:space="preserve">parametrization and software interoperability for docking and beyond.</w:t>
      </w:r>
      <w:r>
        <w:t xml:space="preserve"> </w:t>
      </w:r>
      <w:r>
        <w:rPr>
          <w:i/>
          <w:iCs/>
        </w:rPr>
        <w:t xml:space="preserve">J Chem Inf Model.</w:t>
      </w:r>
      <w:r>
        <w:t xml:space="preserve"> </w:t>
      </w:r>
      <w:r>
        <w:t xml:space="preserve">2025;65(24):13045–13050.</w:t>
      </w:r>
      <w:r>
        <w:t xml:space="preserve"> </w:t>
      </w:r>
      <w:r>
        <w:t xml:space="preserve">doi:10.1021/acs.jcim.5c02271</w:t>
      </w:r>
    </w:p>
    <w:p>
      <w:pPr>
        <w:pStyle w:val="Compact"/>
        <w:numPr>
          <w:ilvl w:val="0"/>
          <w:numId w:val="1001"/>
        </w:numPr>
      </w:pPr>
      <w:r>
        <w:t xml:space="preserve">Trott O, Olson AJ. AutoDock Vina: improving the speed and accuracy of</w:t>
      </w:r>
      <w:r>
        <w:t xml:space="preserve"> </w:t>
      </w:r>
      <w:r>
        <w:t xml:space="preserve">docking with a new scoring function, efficient optimization, and</w:t>
      </w:r>
      <w:r>
        <w:t xml:space="preserve"> </w:t>
      </w:r>
      <w:r>
        <w:t xml:space="preserve">multithreading.</w:t>
      </w:r>
      <w:r>
        <w:t xml:space="preserve"> </w:t>
      </w:r>
      <w:r>
        <w:rPr>
          <w:i/>
          <w:iCs/>
        </w:rPr>
        <w:t xml:space="preserve">J Comput Chem.</w:t>
      </w:r>
      <w:r>
        <w:t xml:space="preserve"> </w:t>
      </w:r>
      <w:r>
        <w:t xml:space="preserve">2010;31(2):455–461.</w:t>
      </w:r>
      <w:r>
        <w:t xml:space="preserve"> </w:t>
      </w:r>
      <w:r>
        <w:t xml:space="preserve">doi:10.1002/jcc.21334</w:t>
      </w:r>
    </w:p>
    <w:p>
      <w:pPr>
        <w:pStyle w:val="Compact"/>
        <w:numPr>
          <w:ilvl w:val="0"/>
          <w:numId w:val="1001"/>
        </w:numPr>
      </w:pPr>
      <w:r>
        <w:t xml:space="preserve">Zhang F, Hanson SM, Jara-Oseguera A, et al. Engineering</w:t>
      </w:r>
      <w:r>
        <w:t xml:space="preserve"> </w:t>
      </w:r>
      <w:r>
        <w:t xml:space="preserve">vanilloid-sensitivity into the rat TRPV2 channel.</w:t>
      </w:r>
      <w:r>
        <w:t xml:space="preserve"> </w:t>
      </w:r>
      <w:r>
        <w:rPr>
          <w:i/>
          <w:iCs/>
        </w:rPr>
        <w:t xml:space="preserve">eLife.</w:t>
      </w:r>
      <w:r>
        <w:t xml:space="preserve"> </w:t>
      </w:r>
      <w:r>
        <w:t xml:space="preserve">2016;5:e16409. doi:10.7554/eLife.16409</w:t>
      </w:r>
    </w:p>
    <w:p>
      <w:pPr>
        <w:pStyle w:val="Compact"/>
        <w:numPr>
          <w:ilvl w:val="0"/>
          <w:numId w:val="1001"/>
        </w:numPr>
      </w:pPr>
      <w:r>
        <w:t xml:space="preserve">Goyal N, Skrdla P, Schroyer R, et al. Clinical pharmacokinetics,</w:t>
      </w:r>
      <w:r>
        <w:t xml:space="preserve"> </w:t>
      </w:r>
      <w:r>
        <w:t xml:space="preserve">safety, and tolerability of a novel, first-in-class TRPV4 ion channel</w:t>
      </w:r>
      <w:r>
        <w:t xml:space="preserve"> </w:t>
      </w:r>
      <w:r>
        <w:t xml:space="preserve">inhibitor, GSK2798745, in healthy and heart failure subjects.</w:t>
      </w:r>
      <w:r>
        <w:t xml:space="preserve"> </w:t>
      </w:r>
      <w:r>
        <w:rPr>
          <w:i/>
          <w:iCs/>
        </w:rPr>
        <w:t xml:space="preserve">Am J</w:t>
      </w:r>
      <w:r>
        <w:rPr>
          <w:i/>
          <w:iCs/>
        </w:rPr>
        <w:t xml:space="preserve"> </w:t>
      </w:r>
      <w:r>
        <w:rPr>
          <w:i/>
          <w:iCs/>
        </w:rPr>
        <w:t xml:space="preserve">Cardiovasc Drugs.</w:t>
      </w:r>
      <w:r>
        <w:t xml:space="preserve"> </w:t>
      </w:r>
      <w:r>
        <w:t xml:space="preserve">2019;19(3):335–342. doi:10.1007/s40256-018-00320-6</w:t>
      </w:r>
    </w:p>
    <w:p>
      <w:pPr>
        <w:pStyle w:val="Compact"/>
        <w:numPr>
          <w:ilvl w:val="0"/>
          <w:numId w:val="1001"/>
        </w:numPr>
      </w:pPr>
      <w:r>
        <w:t xml:space="preserve">Bianco SD, Peng JB, Takanaga H, et al. Marked disturbance of calcium</w:t>
      </w:r>
      <w:r>
        <w:t xml:space="preserve"> </w:t>
      </w:r>
      <w:r>
        <w:t xml:space="preserve">homeostasis in mice with targeted disruption of the</w:t>
      </w:r>
      <w:r>
        <w:t xml:space="preserve"> </w:t>
      </w:r>
      <w:r>
        <w:rPr>
          <w:i/>
          <w:iCs/>
        </w:rPr>
        <w:t xml:space="preserve">Trpv6</w:t>
      </w:r>
      <w:r>
        <w:t xml:space="preserve"> </w:t>
      </w:r>
      <w:r>
        <w:t xml:space="preserve">calcium</w:t>
      </w:r>
      <w:r>
        <w:t xml:space="preserve"> </w:t>
      </w:r>
      <w:r>
        <w:t xml:space="preserve">channel gene.</w:t>
      </w:r>
      <w:r>
        <w:t xml:space="preserve"> </w:t>
      </w:r>
      <w:r>
        <w:rPr>
          <w:i/>
          <w:iCs/>
        </w:rPr>
        <w:t xml:space="preserve">J Bone Miner Res.</w:t>
      </w:r>
      <w:r>
        <w:t xml:space="preserve"> </w:t>
      </w:r>
      <w:r>
        <w:t xml:space="preserve">2007;22(2):274–285.</w:t>
      </w:r>
      <w:r>
        <w:t xml:space="preserve"> </w:t>
      </w:r>
      <w:r>
        <w:t xml:space="preserve">doi:10.1359/jbmr.061110</w:t>
      </w:r>
    </w:p>
    <w:p>
      <w:pPr>
        <w:pStyle w:val="Compact"/>
        <w:numPr>
          <w:ilvl w:val="0"/>
          <w:numId w:val="1001"/>
        </w:numPr>
      </w:pPr>
      <w:r>
        <w:t xml:space="preserve">Iwata Y, Matsumura T. Blockade of TRPV2 is a novel therapy for</w:t>
      </w:r>
      <w:r>
        <w:t xml:space="preserve"> </w:t>
      </w:r>
      <w:r>
        <w:t xml:space="preserve">cardiomyopathy in muscular dystrophy.</w:t>
      </w:r>
      <w:r>
        <w:t xml:space="preserve"> </w:t>
      </w:r>
      <w:r>
        <w:rPr>
          <w:i/>
          <w:iCs/>
        </w:rPr>
        <w:t xml:space="preserve">Int J Mol Sci.</w:t>
      </w:r>
      <w:r>
        <w:t xml:space="preserve"> </w:t>
      </w:r>
      <w:r>
        <w:t xml:space="preserve">2019;20(16):3844. doi:10.3390/ijms20163844</w:t>
      </w:r>
    </w:p>
    <w:p>
      <w:pPr>
        <w:pStyle w:val="Compact"/>
        <w:numPr>
          <w:ilvl w:val="0"/>
          <w:numId w:val="1001"/>
        </w:numPr>
      </w:pPr>
      <w:r>
        <w:t xml:space="preserve">Iwata Y, Wakabayashi S, Ito S, Kitakaze M. Production of</w:t>
      </w:r>
      <w:r>
        <w:t xml:space="preserve"> </w:t>
      </w:r>
      <w:r>
        <w:t xml:space="preserve">TRPV2-targeting functional antibody ameliorating dilated</w:t>
      </w:r>
      <w:r>
        <w:t xml:space="preserve"> </w:t>
      </w:r>
      <w:r>
        <w:t xml:space="preserve">cardiomyopathy and muscular dystrophy in animal models.</w:t>
      </w:r>
      <w:r>
        <w:t xml:space="preserve"> </w:t>
      </w:r>
      <w:r>
        <w:rPr>
          <w:i/>
          <w:iCs/>
        </w:rPr>
        <w:t xml:space="preserve">Lab Invest.</w:t>
      </w:r>
      <w:r>
        <w:t xml:space="preserve"> </w:t>
      </w:r>
      <w:r>
        <w:t xml:space="preserve">2020;100(2):324–337. doi:10.1038/s41374-019-0363-1</w:t>
      </w:r>
    </w:p>
    <w:p>
      <w:pPr>
        <w:pStyle w:val="Compact"/>
        <w:numPr>
          <w:ilvl w:val="0"/>
          <w:numId w:val="1001"/>
        </w:numPr>
      </w:pPr>
      <w:r>
        <w:t xml:space="preserve">Lu A, Li K, Huang C, Yu B, Zhong W. Pathogenesis and management of</w:t>
      </w:r>
      <w:r>
        <w:t xml:space="preserve"> </w:t>
      </w:r>
      <w:r>
        <w:t xml:space="preserve">TRPV3-related Olmsted syndrome.</w:t>
      </w:r>
      <w:r>
        <w:t xml:space="preserve"> </w:t>
      </w:r>
      <w:r>
        <w:rPr>
          <w:i/>
          <w:iCs/>
        </w:rPr>
        <w:t xml:space="preserve">Front Genet.</w:t>
      </w:r>
      <w:r>
        <w:t xml:space="preserve"> </w:t>
      </w:r>
      <w:r>
        <w:t xml:space="preserve">2024;15:1459109.</w:t>
      </w:r>
      <w:r>
        <w:t xml:space="preserve"> </w:t>
      </w:r>
      <w:r>
        <w:t xml:space="preserve">doi:10.3389/fgene.2024.1459109</w:t>
      </w:r>
    </w:p>
    <w:p>
      <w:pPr>
        <w:pStyle w:val="Compact"/>
        <w:numPr>
          <w:ilvl w:val="0"/>
          <w:numId w:val="1001"/>
        </w:numPr>
      </w:pPr>
      <w:r>
        <w:t xml:space="preserve">Mellado Lagarde MM, Wilbraham D, Fonseca Martins R, et al. Clinical</w:t>
      </w:r>
      <w:r>
        <w:t xml:space="preserve"> </w:t>
      </w:r>
      <w:r>
        <w:t xml:space="preserve">proof-of-concept results with a novel TRPA1 antagonist (LY3526318) in</w:t>
      </w:r>
      <w:r>
        <w:t xml:space="preserve"> </w:t>
      </w:r>
      <w:r>
        <w:t xml:space="preserve">3 chronic pain states.</w:t>
      </w:r>
      <w:r>
        <w:t xml:space="preserve"> </w:t>
      </w:r>
      <w:r>
        <w:rPr>
          <w:i/>
          <w:iCs/>
        </w:rPr>
        <w:t xml:space="preserve">Pain.</w:t>
      </w:r>
      <w:r>
        <w:t xml:space="preserve"> </w:t>
      </w:r>
      <w:r>
        <w:t xml:space="preserve">2025;166(7):1497–1518.</w:t>
      </w:r>
      <w:r>
        <w:t xml:space="preserve"> </w:t>
      </w:r>
      <w:r>
        <w:t xml:space="preserve">doi:10.1097/j.pain.0000000000003487</w:t>
      </w:r>
    </w:p>
    <w:p>
      <w:pPr>
        <w:pStyle w:val="Compact"/>
        <w:numPr>
          <w:ilvl w:val="0"/>
          <w:numId w:val="1001"/>
        </w:numPr>
      </w:pPr>
      <w:r>
        <w:t xml:space="preserve">Bos JD, Meinardi MMHM. The 500 Dalton rule for the skin penetration of</w:t>
      </w:r>
      <w:r>
        <w:t xml:space="preserve"> </w:t>
      </w:r>
      <w:r>
        <w:t xml:space="preserve">chemical compounds and drugs.</w:t>
      </w:r>
      <w:r>
        <w:t xml:space="preserve"> </w:t>
      </w:r>
      <w:r>
        <w:rPr>
          <w:i/>
          <w:iCs/>
        </w:rPr>
        <w:t xml:space="preserve">Exp Dermatol.</w:t>
      </w:r>
      <w:r>
        <w:t xml:space="preserve"> </w:t>
      </w:r>
      <w:r>
        <w:t xml:space="preserve">2000;9(3):165–169.</w:t>
      </w:r>
      <w:r>
        <w:t xml:space="preserve"> </w:t>
      </w:r>
      <w:r>
        <w:t xml:space="preserve">doi:10.1034/j.1600-0625.2000.009003165.x</w:t>
      </w:r>
    </w:p>
    <w:p>
      <w:pPr>
        <w:pStyle w:val="Compact"/>
        <w:numPr>
          <w:ilvl w:val="0"/>
          <w:numId w:val="1001"/>
        </w:numPr>
      </w:pPr>
      <w:r>
        <w:t xml:space="preserve">QUTENZA (capsaicin) topical system, prescribing information. U.S. Food</w:t>
      </w:r>
      <w:r>
        <w:t xml:space="preserve"> </w:t>
      </w:r>
      <w:r>
        <w:t xml:space="preserve">and Drug Administration, NDA 022395. Original approval 2009; cited</w:t>
      </w:r>
      <w:r>
        <w:t xml:space="preserve"> </w:t>
      </w:r>
      <w:r>
        <w:t xml:space="preserve">revision 2023. Transient, low (&lt;5 ng/mL) plasma capsaicin was detected</w:t>
      </w:r>
      <w:r>
        <w:t xml:space="preserve"> </w:t>
      </w:r>
      <w:r>
        <w:t xml:space="preserve">in about one-third of postherpetic-neuralgia patients following a</w:t>
      </w:r>
      <w:r>
        <w:t xml:space="preserve"> </w:t>
      </w:r>
      <w:r>
        <w:t xml:space="preserve">60-minute application, clearing below the limit of quantitation within</w:t>
      </w:r>
      <w:r>
        <w:t xml:space="preserve"> </w:t>
      </w:r>
      <w:r>
        <w:t xml:space="preserve">3–6 hours. https://www.accessdata.fda.gov/drugsatfda_docs/label/2023/022395s023lbl.pdf</w:t>
      </w:r>
    </w:p>
    <w:p>
      <w:pPr>
        <w:pStyle w:val="Compact"/>
        <w:numPr>
          <w:ilvl w:val="0"/>
          <w:numId w:val="1001"/>
        </w:numPr>
      </w:pPr>
      <w:r>
        <w:t xml:space="preserve">Thoreau E, Arlabosse JM, Bouix-Peter C, et al. Structure-based design</w:t>
      </w:r>
      <w:r>
        <w:t xml:space="preserve"> </w:t>
      </w:r>
      <w:r>
        <w:t xml:space="preserve">of trifarotene (CD5789), a potent and selective RARγ agonist for the</w:t>
      </w:r>
      <w:r>
        <w:t xml:space="preserve"> </w:t>
      </w:r>
      <w:r>
        <w:t xml:space="preserve">treatment of acne.</w:t>
      </w:r>
      <w:r>
        <w:t xml:space="preserve"> </w:t>
      </w:r>
      <w:r>
        <w:rPr>
          <w:i/>
          <w:iCs/>
        </w:rPr>
        <w:t xml:space="preserve">Bioorg Med Chem Lett.</w:t>
      </w:r>
      <w:r>
        <w:t xml:space="preserve"> </w:t>
      </w:r>
      <w:r>
        <w:t xml:space="preserve">2018;28(10):1736–1741.</w:t>
      </w:r>
      <w:r>
        <w:t xml:space="preserve"> </w:t>
      </w:r>
      <w:r>
        <w:t xml:space="preserve">doi:10.1016/j.bmcl.2018.04.036</w:t>
      </w:r>
      <w:r>
        <w:t xml:space="preserve"> </w:t>
      </w:r>
      <w:r>
        <w:rPr>
          <w:i/>
          <w:iCs/>
        </w:rPr>
        <w:t xml:space="preserve">(source publication for PDB 6FX0, used</w:t>
      </w:r>
      <w:r>
        <w:rPr>
          <w:i/>
          <w:iCs/>
        </w:rPr>
        <w:t xml:space="preserve"> </w:t>
      </w:r>
      <w:r>
        <w:rPr>
          <w:i/>
          <w:iCs/>
        </w:rPr>
        <w:t xml:space="preserve">directly in this study)</w:t>
      </w:r>
    </w:p>
    <w:p>
      <w:pPr>
        <w:pStyle w:val="Compact"/>
        <w:numPr>
          <w:ilvl w:val="0"/>
          <w:numId w:val="1001"/>
        </w:numPr>
      </w:pPr>
      <w:r>
        <w:t xml:space="preserve">Chandraratna RAS. Tazarotene — first of a new generation of</w:t>
      </w:r>
      <w:r>
        <w:t xml:space="preserve"> </w:t>
      </w:r>
      <w:r>
        <w:t xml:space="preserve">receptor-selective retinoids.</w:t>
      </w:r>
      <w:r>
        <w:t xml:space="preserve"> </w:t>
      </w:r>
      <w:r>
        <w:rPr>
          <w:i/>
          <w:iCs/>
        </w:rPr>
        <w:t xml:space="preserve">Br J Dermatol.</w:t>
      </w:r>
      <w:r>
        <w:t xml:space="preserve"> </w:t>
      </w:r>
      <w:r>
        <w:t xml:space="preserve">1996;135(Suppl</w:t>
      </w:r>
      <w:r>
        <w:t xml:space="preserve"> </w:t>
      </w:r>
      <w:r>
        <w:t xml:space="preserve">49):18–25. doi:10.1111/j.1365-2133.1996.tb15662.x</w:t>
      </w:r>
    </w:p>
    <w:p>
      <w:pPr>
        <w:pStyle w:val="Compact"/>
        <w:numPr>
          <w:ilvl w:val="0"/>
          <w:numId w:val="1001"/>
        </w:numPr>
      </w:pPr>
      <w:r>
        <w:t xml:space="preserve">Esser CK, Bugianesi RL, Caldwell CG, et al. Inhibition of</w:t>
      </w:r>
      <w:r>
        <w:t xml:space="preserve"> </w:t>
      </w:r>
      <w:r>
        <w:t xml:space="preserve">stromelysin-1 (MMP-3) by P1′-biphenylylethyl carboxyalkyl dipeptides.</w:t>
      </w:r>
      <w:r>
        <w:t xml:space="preserve"> </w:t>
      </w:r>
      <w:r>
        <w:rPr>
          <w:i/>
          <w:iCs/>
        </w:rPr>
        <w:t xml:space="preserve">J Med Chem.</w:t>
      </w:r>
      <w:r>
        <w:t xml:space="preserve"> </w:t>
      </w:r>
      <w:r>
        <w:t xml:space="preserve">1997;40(6):1026–1040. doi:10.1021/jm960465t</w:t>
      </w:r>
      <w:r>
        <w:t xml:space="preserve"> </w:t>
      </w:r>
      <w:r>
        <w:rPr>
          <w:i/>
          <w:iCs/>
        </w:rPr>
        <w:t xml:space="preserve">(source</w:t>
      </w:r>
      <w:r>
        <w:rPr>
          <w:i/>
          <w:iCs/>
        </w:rPr>
        <w:t xml:space="preserve"> </w:t>
      </w:r>
      <w:r>
        <w:rPr>
          <w:i/>
          <w:iCs/>
        </w:rPr>
        <w:t xml:space="preserve">publication for PDB 1HFS, used directly in this study)</w:t>
      </w:r>
    </w:p>
    <w:p>
      <w:pPr>
        <w:pStyle w:val="Compact"/>
        <w:numPr>
          <w:ilvl w:val="0"/>
          <w:numId w:val="1001"/>
        </w:numPr>
      </w:pPr>
      <w:r>
        <w:t xml:space="preserve">Lopez KE, Paduda AS, Derrick MJ, Van Horn WD. TRPV1 antagonism occurs</w:t>
      </w:r>
      <w:r>
        <w:t xml:space="preserve"> </w:t>
      </w:r>
      <w:r>
        <w:t xml:space="preserve">through diverse structural mechanisms.</w:t>
      </w:r>
      <w:r>
        <w:t xml:space="preserve"> </w:t>
      </w:r>
      <w:r>
        <w:rPr>
          <w:i/>
          <w:iCs/>
        </w:rPr>
        <w:t xml:space="preserve">bioRxiv.</w:t>
      </w:r>
      <w:r>
        <w:t xml:space="preserve"> </w:t>
      </w:r>
      <w:r>
        <w:t xml:space="preserve">2026.</w:t>
      </w:r>
      <w:r>
        <w:t xml:space="preserve"> </w:t>
      </w:r>
      <w:r>
        <w:t xml:space="preserve">doi:10.64898/2026.04.27.721197</w:t>
      </w:r>
      <w:r>
        <w:t xml:space="preserve"> </w:t>
      </w:r>
      <w:r>
        <w:rPr>
          <w:i/>
          <w:iCs/>
        </w:rPr>
        <w:t xml:space="preserve">(source publication for PDB 11CK, used</w:t>
      </w:r>
      <w:r>
        <w:rPr>
          <w:i/>
          <w:iCs/>
        </w:rPr>
        <w:t xml:space="preserve"> </w:t>
      </w:r>
      <w:r>
        <w:rPr>
          <w:i/>
          <w:iCs/>
        </w:rPr>
        <w:t xml:space="preserve">directly in this study; this is a preprint — verify peer-reviewed</w:t>
      </w:r>
      <w:r>
        <w:rPr>
          <w:i/>
          <w:iCs/>
        </w:rPr>
        <w:t xml:space="preserve"> </w:t>
      </w:r>
      <w:r>
        <w:rPr>
          <w:i/>
          <w:iCs/>
        </w:rPr>
        <w:t xml:space="preserve">publication status before submission)</w:t>
      </w:r>
    </w:p>
    <w:p>
      <w:pPr>
        <w:pStyle w:val="Compact"/>
        <w:numPr>
          <w:ilvl w:val="0"/>
          <w:numId w:val="1001"/>
        </w:numPr>
      </w:pPr>
      <w:r>
        <w:t xml:space="preserve">Zdrazil B, Felix E, Hunter F, et al. The ChEMBL Database in 2023: a</w:t>
      </w:r>
      <w:r>
        <w:t xml:space="preserve"> </w:t>
      </w:r>
      <w:r>
        <w:t xml:space="preserve">drug discovery platform spanning multiple bioactivity data types and</w:t>
      </w:r>
      <w:r>
        <w:t xml:space="preserve"> </w:t>
      </w:r>
      <w:r>
        <w:t xml:space="preserve">time periods.</w:t>
      </w:r>
      <w:r>
        <w:t xml:space="preserve"> </w:t>
      </w:r>
      <w:r>
        <w:rPr>
          <w:i/>
          <w:iCs/>
        </w:rPr>
        <w:t xml:space="preserve">Nucleic Acids Res.</w:t>
      </w:r>
      <w:r>
        <w:t xml:space="preserve"> </w:t>
      </w:r>
      <w:r>
        <w:t xml:space="preserve">2024;52(D1):D1180–D1192.</w:t>
      </w:r>
      <w:r>
        <w:t xml:space="preserve"> </w:t>
      </w:r>
      <w:r>
        <w:t xml:space="preserve">doi:10.1093/nar/gkad1004</w:t>
      </w:r>
      <w:r>
        <w:t xml:space="preserve"> </w:t>
      </w:r>
      <w:r>
        <w:rPr>
          <w:i/>
          <w:iCs/>
        </w:rPr>
        <w:t xml:space="preserve">(source of RARG/MMP3 known active/inactive</w:t>
      </w:r>
      <w:r>
        <w:rPr>
          <w:i/>
          <w:iCs/>
        </w:rPr>
        <w:t xml:space="preserve"> </w:t>
      </w:r>
      <w:r>
        <w:rPr>
          <w:i/>
          <w:iCs/>
        </w:rPr>
        <w:t xml:space="preserve">bioactivity data used directly in this study, via the ChEMBL REST API,</w:t>
      </w:r>
      <w:r>
        <w:rPr>
          <w:i/>
          <w:iCs/>
        </w:rPr>
        <w:t xml:space="preserve"> </w:t>
      </w:r>
      <w:r>
        <w:rPr>
          <w:i/>
          <w:iCs/>
        </w:rPr>
        <w:t xml:space="preserve">targets CHEMBL2003 and CHEMBL283)</w:t>
      </w:r>
    </w:p>
    <w:p>
      <w:pPr>
        <w:pStyle w:val="Compact"/>
        <w:numPr>
          <w:ilvl w:val="0"/>
          <w:numId w:val="1001"/>
        </w:numPr>
      </w:pPr>
      <w:r>
        <w:t xml:space="preserve">Santos-Martins D, Forli S, Ramos MJ, Olson AJ. AutoDock4(Zn): an</w:t>
      </w:r>
      <w:r>
        <w:t xml:space="preserve"> </w:t>
      </w:r>
      <w:r>
        <w:t xml:space="preserve">improved AutoDock force field for small-molecule docking to zinc</w:t>
      </w:r>
      <w:r>
        <w:t xml:space="preserve"> </w:t>
      </w:r>
      <w:r>
        <w:t xml:space="preserve">metalloproteins.</w:t>
      </w:r>
      <w:r>
        <w:t xml:space="preserve"> </w:t>
      </w:r>
      <w:r>
        <w:rPr>
          <w:i/>
          <w:iCs/>
        </w:rPr>
        <w:t xml:space="preserve">J Chem Inf Model.</w:t>
      </w:r>
      <w:r>
        <w:t xml:space="preserve"> </w:t>
      </w:r>
      <w:r>
        <w:t xml:space="preserve">2014;54(8):2371–2379.</w:t>
      </w:r>
      <w:r>
        <w:t xml:space="preserve"> </w:t>
      </w:r>
      <w:r>
        <w:t xml:space="preserve">doi:10.1021/ci500209e</w:t>
      </w:r>
      <w:r>
        <w:t xml:space="preserve"> </w:t>
      </w:r>
      <w:r>
        <w:rPr>
          <w:i/>
          <w:iCs/>
        </w:rPr>
        <w:t xml:space="preserve">(source of the AD4Zn zinc-coordination force</w:t>
      </w:r>
      <w:r>
        <w:rPr>
          <w:i/>
          <w:iCs/>
        </w:rPr>
        <w:t xml:space="preserve"> </w:t>
      </w:r>
      <w:r>
        <w:rPr>
          <w:i/>
          <w:iCs/>
        </w:rPr>
        <w:t xml:space="preserve">field used directly in this study for the MMP3 discrimination check,</w:t>
      </w:r>
      <w:r>
        <w:rPr>
          <w:i/>
          <w:iCs/>
        </w:rPr>
        <w:t xml:space="preserve"> </w:t>
      </w:r>
      <w:r>
        <w:rPr>
          <w:i/>
          <w:iCs/>
        </w:rPr>
        <w:t xml:space="preserve">Section 2.5/3.4)</w:t>
      </w:r>
    </w:p>
    <w:p>
      <w:pPr>
        <w:pStyle w:val="Compact"/>
        <w:numPr>
          <w:ilvl w:val="0"/>
          <w:numId w:val="1001"/>
        </w:numPr>
      </w:pPr>
      <w:r>
        <w:t xml:space="preserve">Cao E, Liao M, Cheng Y, Julius D. TRPV1 structures in distinct</w:t>
      </w:r>
      <w:r>
        <w:t xml:space="preserve"> </w:t>
      </w:r>
      <w:r>
        <w:t xml:space="preserve">conformations reveal activation mechanisms.</w:t>
      </w:r>
      <w:r>
        <w:t xml:space="preserve"> </w:t>
      </w:r>
      <w:r>
        <w:rPr>
          <w:i/>
          <w:iCs/>
        </w:rPr>
        <w:t xml:space="preserve">Nature.</w:t>
      </w:r>
      <w:r>
        <w:t xml:space="preserve"> </w:t>
      </w:r>
      <w:r>
        <w:t xml:space="preserve">2013;504(7478):113–118. doi:10.1038/nature12823</w:t>
      </w:r>
    </w:p>
    <w:p>
      <w:pPr>
        <w:pStyle w:val="Compact"/>
        <w:numPr>
          <w:ilvl w:val="0"/>
          <w:numId w:val="1001"/>
        </w:numPr>
      </w:pPr>
      <w:r>
        <w:t xml:space="preserve">Eberhardt J, Santos-Martins D, Tillack AF, Forli S. AutoDock Vina</w:t>
      </w:r>
      <w:r>
        <w:t xml:space="preserve"> </w:t>
      </w:r>
      <w:r>
        <w:t xml:space="preserve">1.2.0: new docking methods, expanded force field, and Python bindings.</w:t>
      </w:r>
      <w:r>
        <w:t xml:space="preserve"> </w:t>
      </w:r>
      <w:r>
        <w:rPr>
          <w:i/>
          <w:iCs/>
        </w:rPr>
        <w:t xml:space="preserve">J Chem Inf Model.</w:t>
      </w:r>
      <w:r>
        <w:t xml:space="preserve"> </w:t>
      </w:r>
      <w:r>
        <w:t xml:space="preserve">2021;61(8):3891–3898. doi:10.1021/acs.jcim.1c00203</w:t>
      </w:r>
    </w:p>
    <w:p>
      <w:pPr>
        <w:pStyle w:val="Compact"/>
        <w:numPr>
          <w:ilvl w:val="0"/>
          <w:numId w:val="1001"/>
        </w:numPr>
      </w:pPr>
      <w:r>
        <w:t xml:space="preserve">Potts RO, Guy RH. Predicting skin permeability.</w:t>
      </w:r>
      <w:r>
        <w:t xml:space="preserve"> </w:t>
      </w:r>
      <w:r>
        <w:rPr>
          <w:i/>
          <w:iCs/>
        </w:rPr>
        <w:t xml:space="preserve">Pharm Res.</w:t>
      </w:r>
      <w:r>
        <w:t xml:space="preserve"> </w:t>
      </w:r>
      <w:r>
        <w:t xml:space="preserve">1992;9(5):663–669. doi:10.1023/A:1015810312465</w:t>
      </w:r>
    </w:p>
    <w:p>
      <w:pPr>
        <w:pStyle w:val="Compact"/>
        <w:numPr>
          <w:ilvl w:val="0"/>
          <w:numId w:val="1001"/>
        </w:numPr>
      </w:pPr>
      <w:r>
        <w:t xml:space="preserve">Hoenderop JG, van Leeuwen JP, van der Eerden BC, et al. Renal Ca²⁺</w:t>
      </w:r>
      <w:r>
        <w:t xml:space="preserve"> </w:t>
      </w:r>
      <w:r>
        <w:t xml:space="preserve">wasting, hyperabsorption, and reduced bone thickness in mice lacking</w:t>
      </w:r>
      <w:r>
        <w:t xml:space="preserve"> </w:t>
      </w:r>
      <w:r>
        <w:t xml:space="preserve">TRPV5.</w:t>
      </w:r>
      <w:r>
        <w:t xml:space="preserve"> </w:t>
      </w:r>
      <w:r>
        <w:rPr>
          <w:i/>
          <w:iCs/>
        </w:rPr>
        <w:t xml:space="preserve">J Clin Invest.</w:t>
      </w:r>
      <w:r>
        <w:t xml:space="preserve"> </w:t>
      </w:r>
      <w:r>
        <w:t xml:space="preserve">2003;112(12):1906–1914. doi:10.1172/JCI19826</w:t>
      </w:r>
    </w:p>
    <w:p>
      <w:pPr>
        <w:pStyle w:val="Compact"/>
        <w:numPr>
          <w:ilvl w:val="0"/>
          <w:numId w:val="1001"/>
        </w:numPr>
      </w:pPr>
      <w:r>
        <w:t xml:space="preserve">Willette RN, Bao W, Nerurkar S, et al. Systemic activation of the</w:t>
      </w:r>
      <w:r>
        <w:t xml:space="preserve"> </w:t>
      </w:r>
      <w:r>
        <w:t xml:space="preserve">transient receptor potential vanilloid subtype 4 channel causes</w:t>
      </w:r>
      <w:r>
        <w:t xml:space="preserve"> </w:t>
      </w:r>
      <w:r>
        <w:t xml:space="preserve">endothelial failure and circulatory collapse.</w:t>
      </w:r>
      <w:r>
        <w:t xml:space="preserve"> </w:t>
      </w:r>
      <w:r>
        <w:rPr>
          <w:i/>
          <w:iCs/>
        </w:rPr>
        <w:t xml:space="preserve">J Pharmacol Exp Ther.</w:t>
      </w:r>
      <w:r>
        <w:t xml:space="preserve"> </w:t>
      </w:r>
      <w:r>
        <w:t xml:space="preserve">2008;326(2):443–452. doi:10.1124/jpet.107.134551</w:t>
      </w:r>
    </w:p>
    <w:p>
      <w:pPr>
        <w:pStyle w:val="Compact"/>
        <w:numPr>
          <w:ilvl w:val="0"/>
          <w:numId w:val="1001"/>
        </w:numPr>
      </w:pPr>
      <w:r>
        <w:t xml:space="preserve">Gavva NR, Treanor JJS, Garami A, et al. Pharmacological blockade of</w:t>
      </w:r>
      <w:r>
        <w:t xml:space="preserve"> </w:t>
      </w:r>
      <w:r>
        <w:t xml:space="preserve">the vanilloid receptor TRPV1 elicits marked hyperthermia in humans.</w:t>
      </w:r>
      <w:r>
        <w:t xml:space="preserve"> </w:t>
      </w:r>
      <w:r>
        <w:rPr>
          <w:i/>
          <w:iCs/>
        </w:rPr>
        <w:t xml:space="preserve">Pain.</w:t>
      </w:r>
      <w:r>
        <w:t xml:space="preserve"> </w:t>
      </w:r>
      <w:r>
        <w:t xml:space="preserve">2008;136(1-2):202–210. doi:10.1016/j.pain.2008.01.024</w:t>
      </w:r>
    </w:p>
    <w:p>
      <w:pPr>
        <w:pStyle w:val="Compact"/>
        <w:numPr>
          <w:ilvl w:val="0"/>
          <w:numId w:val="1001"/>
        </w:numPr>
      </w:pPr>
      <w:r>
        <w:t xml:space="preserve">Lazo JS, Boland CJ, Schwartz PE. Bleomycin hydrolase activity and</w:t>
      </w:r>
      <w:r>
        <w:t xml:space="preserve"> </w:t>
      </w:r>
      <w:r>
        <w:t xml:space="preserve">cytotoxicity in human tumors.</w:t>
      </w:r>
      <w:r>
        <w:t xml:space="preserve"> </w:t>
      </w:r>
      <w:r>
        <w:rPr>
          <w:i/>
          <w:iCs/>
        </w:rPr>
        <w:t xml:space="preserve">Cancer Res.</w:t>
      </w:r>
      <w:r>
        <w:t xml:space="preserve"> </w:t>
      </w:r>
      <w:r>
        <w:t xml:space="preserve">1982;42(10):4026–4031.</w:t>
      </w:r>
      <w:r>
        <w:t xml:space="preserve"> </w:t>
      </w:r>
      <w:r>
        <w:t xml:space="preserve">PMID: 6179595</w:t>
      </w:r>
    </w:p>
    <w:p>
      <w:pPr>
        <w:pStyle w:val="Compact"/>
        <w:numPr>
          <w:ilvl w:val="0"/>
          <w:numId w:val="1001"/>
        </w:numPr>
      </w:pPr>
      <w:r>
        <w:t xml:space="preserve">Ching D, Wood BA, Tiwari S, Chan J, Harvey NT. Histological features</w:t>
      </w:r>
      <w:r>
        <w:t xml:space="preserve"> </w:t>
      </w:r>
      <w:r>
        <w:t xml:space="preserve">of flagellate erythema.</w:t>
      </w:r>
      <w:r>
        <w:t xml:space="preserve"> </w:t>
      </w:r>
      <w:r>
        <w:rPr>
          <w:i/>
          <w:iCs/>
        </w:rPr>
        <w:t xml:space="preserve">Am J Dermatopathol.</w:t>
      </w:r>
      <w:r>
        <w:t xml:space="preserve"> </w:t>
      </w:r>
      <w:r>
        <w:t xml:space="preserve">2019;41(6):410–421.</w:t>
      </w:r>
      <w:r>
        <w:t xml:space="preserve"> </w:t>
      </w:r>
      <w:r>
        <w:t xml:space="preserve">doi:10.1097/DAD.0000000000001271</w:t>
      </w:r>
    </w:p>
    <w:p>
      <w:pPr>
        <w:pStyle w:val="Compact"/>
        <w:numPr>
          <w:ilvl w:val="0"/>
          <w:numId w:val="1001"/>
        </w:numPr>
      </w:pPr>
      <w:r>
        <w:t xml:space="preserve">Lin Z, Akin H, Rao R, et al. Evolutionary-scale prediction of</w:t>
      </w:r>
      <w:r>
        <w:t xml:space="preserve"> </w:t>
      </w:r>
      <w:r>
        <w:t xml:space="preserve">atomic-level protein structure with a language model.</w:t>
      </w:r>
      <w:r>
        <w:t xml:space="preserve"> </w:t>
      </w:r>
      <w:r>
        <w:rPr>
          <w:i/>
          <w:iCs/>
        </w:rPr>
        <w:t xml:space="preserve">Science.</w:t>
      </w:r>
      <w:r>
        <w:t xml:space="preserve"> </w:t>
      </w:r>
      <w:r>
        <w:t xml:space="preserve">2023;379(6637):1123–1130. doi:10.1126/science.ade2574</w:t>
      </w:r>
    </w:p>
    <w:p>
      <w:pPr>
        <w:pStyle w:val="Compact"/>
        <w:numPr>
          <w:ilvl w:val="0"/>
          <w:numId w:val="1001"/>
        </w:numPr>
      </w:pPr>
      <w:r>
        <w:t xml:space="preserve">Cock PJA, Antao T, Chang JT, et al. Biopython: freely available Python</w:t>
      </w:r>
      <w:r>
        <w:t xml:space="preserve"> </w:t>
      </w:r>
      <w:r>
        <w:t xml:space="preserve">tools for computational molecular biology and bioinformatics.</w:t>
      </w:r>
      <w:r>
        <w:t xml:space="preserve"> </w:t>
      </w:r>
      <w:r>
        <w:rPr>
          <w:i/>
          <w:iCs/>
        </w:rPr>
        <w:t xml:space="preserve">Bioinformatics.</w:t>
      </w:r>
      <w:r>
        <w:t xml:space="preserve"> </w:t>
      </w:r>
      <w:r>
        <w:t xml:space="preserve">2009;25(11):1422–1423.</w:t>
      </w:r>
      <w:r>
        <w:t xml:space="preserve"> </w:t>
      </w:r>
      <w:r>
        <w:t xml:space="preserve">doi:10.1093/bioinformatics/btp163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39"/>
    <w:qFormat/>
    <w:tblPr>
      <w:tblInd w:type="dxa" w:w="0"/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2026-10-08T11:53:40Z</dcterms:created>
  <dcterms:modified xsi:type="dcterms:W3CDTF">2026-10-08T11:53:40Z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